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6914A" w14:textId="0232D3CD" w:rsidR="00061312" w:rsidRDefault="00061312">
      <w:pPr>
        <w:pStyle w:val="CRCoverPage"/>
        <w:jc w:val="both"/>
        <w:rPr>
          <w:rFonts w:cs="Arial"/>
          <w:b/>
          <w:sz w:val="22"/>
          <w:szCs w:val="22"/>
          <w:lang w:val="en-US"/>
        </w:rPr>
      </w:pPr>
      <w:bookmarkStart w:id="0" w:name="_Toc18404533"/>
      <w:bookmarkStart w:id="1" w:name="_Toc18413600"/>
      <w:bookmarkStart w:id="2" w:name="_Toc18403966"/>
      <w:r w:rsidRPr="00061312">
        <w:rPr>
          <w:rFonts w:cs="Arial"/>
          <w:b/>
          <w:sz w:val="22"/>
          <w:szCs w:val="22"/>
          <w:lang w:val="en-US"/>
        </w:rPr>
        <w:t>3GPP TSG-RAN2#116-e</w:t>
      </w:r>
      <w:r w:rsidRPr="00061312">
        <w:rPr>
          <w:rFonts w:cs="Arial"/>
          <w:b/>
          <w:sz w:val="22"/>
          <w:szCs w:val="22"/>
          <w:lang w:val="en-US"/>
        </w:rPr>
        <w:tab/>
      </w:r>
      <w:r w:rsidRPr="00061312">
        <w:rPr>
          <w:rFonts w:cs="Arial"/>
          <w:b/>
          <w:sz w:val="22"/>
          <w:szCs w:val="22"/>
          <w:lang w:val="en-US"/>
        </w:rPr>
        <w:tab/>
      </w:r>
      <w:r w:rsidRPr="00061312">
        <w:rPr>
          <w:rFonts w:cs="Arial"/>
          <w:b/>
          <w:sz w:val="22"/>
          <w:szCs w:val="22"/>
          <w:lang w:val="en-US"/>
        </w:rPr>
        <w:tab/>
      </w:r>
      <w:r w:rsidRPr="00061312">
        <w:rPr>
          <w:rFonts w:cs="Arial"/>
          <w:b/>
          <w:sz w:val="22"/>
          <w:szCs w:val="22"/>
          <w:lang w:val="en-US"/>
        </w:rPr>
        <w:tab/>
      </w:r>
      <w:r w:rsidRPr="00061312">
        <w:rPr>
          <w:rFonts w:cs="Arial"/>
          <w:b/>
          <w:sz w:val="22"/>
          <w:szCs w:val="22"/>
          <w:lang w:val="en-US"/>
        </w:rPr>
        <w:tab/>
      </w:r>
      <w:r w:rsidRPr="00061312">
        <w:rPr>
          <w:rFonts w:cs="Arial"/>
          <w:b/>
          <w:sz w:val="22"/>
          <w:szCs w:val="22"/>
          <w:lang w:val="en-US"/>
        </w:rPr>
        <w:tab/>
        <w:t xml:space="preserve">             </w:t>
      </w:r>
      <w:r>
        <w:rPr>
          <w:rFonts w:cs="Arial"/>
          <w:b/>
          <w:sz w:val="22"/>
          <w:szCs w:val="22"/>
          <w:lang w:val="en-US"/>
        </w:rPr>
        <w:t xml:space="preserve">   </w:t>
      </w:r>
      <w:r w:rsidRPr="00061312">
        <w:rPr>
          <w:rFonts w:cs="Arial"/>
          <w:b/>
          <w:sz w:val="22"/>
          <w:szCs w:val="22"/>
          <w:lang w:val="en-US"/>
        </w:rPr>
        <w:t xml:space="preserve"> </w:t>
      </w:r>
      <w:r>
        <w:rPr>
          <w:rFonts w:cs="Arial"/>
          <w:b/>
          <w:sz w:val="22"/>
          <w:szCs w:val="22"/>
          <w:lang w:val="en-US"/>
        </w:rPr>
        <w:t xml:space="preserve">       </w:t>
      </w:r>
      <w:r w:rsidRPr="00061312">
        <w:rPr>
          <w:rFonts w:cs="Arial"/>
          <w:b/>
          <w:sz w:val="22"/>
          <w:szCs w:val="22"/>
          <w:lang w:val="en-US"/>
        </w:rPr>
        <w:t>R2-211057</w:t>
      </w:r>
      <w:r>
        <w:rPr>
          <w:rFonts w:cs="Arial"/>
          <w:b/>
          <w:sz w:val="22"/>
          <w:szCs w:val="22"/>
          <w:lang w:val="en-US"/>
        </w:rPr>
        <w:t>4</w:t>
      </w:r>
      <w:r w:rsidRPr="00061312">
        <w:rPr>
          <w:rFonts w:cs="Arial"/>
          <w:b/>
          <w:sz w:val="22"/>
          <w:szCs w:val="22"/>
          <w:lang w:val="en-US"/>
        </w:rPr>
        <w:t xml:space="preserve"> </w:t>
      </w:r>
    </w:p>
    <w:p w14:paraId="4B06C759" w14:textId="4CF55A50" w:rsidR="00061312" w:rsidRDefault="00061312">
      <w:pPr>
        <w:pStyle w:val="CRCoverPage"/>
        <w:jc w:val="both"/>
        <w:rPr>
          <w:rFonts w:cs="Arial"/>
          <w:b/>
          <w:sz w:val="22"/>
          <w:szCs w:val="22"/>
          <w:lang w:val="en-US"/>
        </w:rPr>
      </w:pPr>
      <w:r w:rsidRPr="00061312">
        <w:rPr>
          <w:rFonts w:cs="Arial"/>
          <w:b/>
          <w:sz w:val="22"/>
          <w:szCs w:val="22"/>
          <w:lang w:val="en-US"/>
        </w:rPr>
        <w:t>Electronic meeting, Nov 01-15, 2021</w:t>
      </w:r>
      <w:r w:rsidRPr="00061312">
        <w:rPr>
          <w:rFonts w:cs="Arial"/>
          <w:b/>
          <w:sz w:val="22"/>
          <w:szCs w:val="22"/>
          <w:lang w:val="en-US"/>
        </w:rPr>
        <w:tab/>
      </w:r>
    </w:p>
    <w:p w14:paraId="470CACF4" w14:textId="411E85FB" w:rsidR="00966323" w:rsidRDefault="006E3C83">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t xml:space="preserve">   </w:t>
      </w:r>
      <w:r>
        <w:rPr>
          <w:rFonts w:eastAsia="SimSun" w:cs="Arial"/>
          <w:b/>
          <w:bCs/>
          <w:sz w:val="24"/>
          <w:lang w:val="en-US" w:eastAsia="zh-CN"/>
        </w:rPr>
        <w:t>8.6.5</w:t>
      </w:r>
    </w:p>
    <w:p w14:paraId="4C53D818" w14:textId="77777777" w:rsidR="00966323" w:rsidRDefault="006E3C83">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Pr>
          <w:rFonts w:eastAsia="SimSun" w:cs="Arial"/>
          <w:b/>
          <w:bCs/>
          <w:sz w:val="24"/>
          <w:lang w:val="en-US" w:eastAsia="zh-CN"/>
        </w:rPr>
        <w:t>Corporation</w:t>
      </w:r>
      <w:r>
        <w:rPr>
          <w:rFonts w:eastAsia="SimSun" w:cs="Arial" w:hint="eastAsia"/>
          <w:b/>
          <w:bCs/>
          <w:sz w:val="24"/>
          <w:lang w:val="en-US" w:eastAsia="zh-CN"/>
        </w:rPr>
        <w:t>, Sanechips</w:t>
      </w:r>
    </w:p>
    <w:p w14:paraId="4795FE30" w14:textId="77777777" w:rsidR="00966323" w:rsidRDefault="006E3C83">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b/>
          <w:bCs/>
          <w:sz w:val="24"/>
          <w:lang w:val="en-US" w:eastAsia="zh-CN"/>
        </w:rPr>
        <w:t>Open issues for CG based SDT</w:t>
      </w:r>
      <w:r>
        <w:rPr>
          <w:rFonts w:eastAsia="SimSun" w:cs="Arial" w:hint="eastAsia"/>
          <w:b/>
          <w:bCs/>
          <w:sz w:val="24"/>
          <w:lang w:val="en-US" w:eastAsia="zh-CN"/>
        </w:rPr>
        <w:t xml:space="preserve"> </w:t>
      </w:r>
    </w:p>
    <w:bookmarkEnd w:id="3"/>
    <w:p w14:paraId="60455FBC" w14:textId="77777777" w:rsidR="00966323" w:rsidRDefault="006E3C83">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6076A981" w14:textId="77777777" w:rsidR="00966323" w:rsidRDefault="006E3C8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43519D85"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CG based small data transmission, </w:t>
      </w:r>
      <w:r>
        <w:rPr>
          <w:rFonts w:ascii="CG Times (WN)" w:eastAsia="Times New Roman" w:hAnsi="CG Times (WN)"/>
          <w:kern w:val="0"/>
          <w:szCs w:val="22"/>
          <w:lang w:val="en-US" w:eastAsia="zh-CN"/>
        </w:rPr>
        <w:t>the work item has the following objectives:</w:t>
      </w:r>
    </w:p>
    <w:p w14:paraId="2D14C11F" w14:textId="77777777" w:rsidR="00966323" w:rsidRDefault="006E3C83">
      <w:pPr>
        <w:pStyle w:val="ListParagraph"/>
        <w:numPr>
          <w:ilvl w:val="1"/>
          <w:numId w:val="6"/>
        </w:numPr>
        <w:ind w:firstLineChars="0"/>
        <w:rPr>
          <w:lang w:eastAsia="zh-CN"/>
        </w:rPr>
      </w:pPr>
      <w:r>
        <w:rPr>
          <w:lang w:eastAsia="zh-CN"/>
        </w:rPr>
        <w:t>Transmission of UL data on pre-configured PUSCH resources (i.e. reusing the configured grant type 1) – when TA is valid</w:t>
      </w:r>
    </w:p>
    <w:p w14:paraId="104198E2" w14:textId="77777777" w:rsidR="00966323" w:rsidRDefault="006E3C83">
      <w:pPr>
        <w:pStyle w:val="ListParagraph"/>
        <w:numPr>
          <w:ilvl w:val="2"/>
          <w:numId w:val="6"/>
        </w:numPr>
        <w:ind w:firstLineChars="0"/>
        <w:rPr>
          <w:lang w:eastAsia="zh-CN"/>
        </w:rPr>
      </w:pPr>
      <w:r>
        <w:rPr>
          <w:lang w:eastAsia="zh-CN"/>
        </w:rPr>
        <w:t>General procedure for small data transmission over configured grant type 1 resources from INACTIVE state [RAN2]</w:t>
      </w:r>
    </w:p>
    <w:p w14:paraId="3F92C8AE" w14:textId="77777777" w:rsidR="00966323" w:rsidRDefault="006E3C83">
      <w:pPr>
        <w:pStyle w:val="ListParagraph"/>
        <w:numPr>
          <w:ilvl w:val="2"/>
          <w:numId w:val="6"/>
        </w:numPr>
        <w:ind w:firstLineChars="0"/>
        <w:rPr>
          <w:lang w:eastAsia="zh-CN"/>
        </w:rPr>
      </w:pPr>
      <w:r>
        <w:rPr>
          <w:lang w:eastAsia="zh-CN"/>
        </w:rPr>
        <w:t>Configuration of the configured grant type1 resources for small data transmission in UL for INACTIVE state [RAN2]</w:t>
      </w:r>
    </w:p>
    <w:p w14:paraId="7D2985FC" w14:textId="66BDE181" w:rsidR="00966323" w:rsidRDefault="006E3C83">
      <w:pPr>
        <w:widowControl/>
        <w:overflowPunct w:val="0"/>
        <w:autoSpaceDE w:val="0"/>
        <w:autoSpaceDN w:val="0"/>
        <w:adjustRightInd w:val="0"/>
        <w:spacing w:after="180" w:line="240" w:lineRule="auto"/>
        <w:jc w:val="left"/>
        <w:textAlignment w:val="baseline"/>
        <w:rPr>
          <w:rFonts w:cs="Arial"/>
          <w:color w:val="000000"/>
        </w:rPr>
      </w:pPr>
      <w:r>
        <w:rPr>
          <w:rFonts w:ascii="CG Times (WN)" w:eastAsia="Times New Roman" w:hAnsi="CG Times (WN)" w:hint="eastAsia"/>
          <w:kern w:val="0"/>
          <w:szCs w:val="22"/>
          <w:lang w:val="en-US" w:eastAsia="zh-CN"/>
        </w:rPr>
        <w:t xml:space="preserve">The intention of the contribution is to discuss the </w:t>
      </w:r>
      <w:r w:rsidR="00061312">
        <w:rPr>
          <w:rFonts w:ascii="CG Times (WN)" w:eastAsia="Times New Roman" w:hAnsi="CG Times (WN)"/>
          <w:kern w:val="0"/>
          <w:szCs w:val="22"/>
          <w:lang w:val="en-US" w:eastAsia="zh-CN"/>
        </w:rPr>
        <w:t xml:space="preserve">open issues for </w:t>
      </w:r>
      <w:r>
        <w:rPr>
          <w:rFonts w:ascii="CG Times (WN)" w:eastAsia="Times New Roman" w:hAnsi="CG Times (WN)" w:hint="eastAsia"/>
          <w:kern w:val="0"/>
          <w:szCs w:val="22"/>
          <w:lang w:val="en-US" w:eastAsia="zh-CN"/>
        </w:rPr>
        <w:t>CG based small data transmission.</w:t>
      </w:r>
    </w:p>
    <w:p w14:paraId="3D061F64" w14:textId="77777777" w:rsidR="00966323" w:rsidRDefault="006E3C8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Open issues</w:t>
      </w:r>
    </w:p>
    <w:p w14:paraId="2EEF0922" w14:textId="77777777" w:rsidR="00966323" w:rsidRDefault="006E3C83">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Resource configuration for CG based SDT</w:t>
      </w:r>
    </w:p>
    <w:p w14:paraId="233E33F9"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The agreement has been made in RAN2 that </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CG-SDT resource can be configured on either initial BWP or separate SDT BWP</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With this agreement, it seems more discussion is needed to clarify the following issues:</w:t>
      </w:r>
    </w:p>
    <w:p w14:paraId="245C8A09" w14:textId="1D80EF9A" w:rsidR="00966323" w:rsidRDefault="006E3C83">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How many BWP</w:t>
      </w:r>
      <w:r w:rsidR="00061312">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can be configured for SDT?</w:t>
      </w:r>
    </w:p>
    <w:p w14:paraId="0D28460D" w14:textId="77777777" w:rsidR="00966323" w:rsidRDefault="006E3C83">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Besides the CG resource for SDT, whether other dedicated resource (e.g. SR) can be configured for SDT?</w:t>
      </w:r>
    </w:p>
    <w:p w14:paraId="5D141ED6" w14:textId="77777777" w:rsidR="00966323" w:rsidRDefault="006E3C83">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Whether there is any special restriction on the BWP for SDT?</w:t>
      </w:r>
    </w:p>
    <w:p w14:paraId="67EFE7D5"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For the number of BWP can be configured for SDT, considering the SDT is mainly targeted for small data transmission, it seems one SDT-BWP is sufficient. The SDT-BWP can be either a separate BWP for SDT specifically, or a BWP configured for CONNECTED mode.</w:t>
      </w:r>
    </w:p>
    <w:p w14:paraId="799DCC63" w14:textId="334D91DC"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1: </w:t>
      </w:r>
      <w:r w:rsidR="00CE7DE5">
        <w:rPr>
          <w:rFonts w:ascii="CG Times (WN)" w:eastAsia="Times New Roman" w:hAnsi="CG Times (WN)"/>
          <w:b/>
          <w:bCs/>
          <w:kern w:val="0"/>
          <w:szCs w:val="22"/>
          <w:lang w:val="en-US" w:eastAsia="zh-CN"/>
        </w:rPr>
        <w:t>if RAN1 confirms the feasibility of separate BWP for SDT, f</w:t>
      </w:r>
      <w:r>
        <w:rPr>
          <w:rFonts w:ascii="CG Times (WN)" w:eastAsia="Times New Roman" w:hAnsi="CG Times (WN)" w:hint="eastAsia"/>
          <w:b/>
          <w:bCs/>
          <w:kern w:val="0"/>
          <w:szCs w:val="22"/>
          <w:lang w:val="en-US" w:eastAsia="zh-CN"/>
        </w:rPr>
        <w:t>or each UE, only one BWP can be configured for SDT. And the SDT-BWP can be either a separate BWP for SDT specifically, or a BWP configured for CONNECTED mode (i.e. reuse one BWP for CONNECTED mode).</w:t>
      </w:r>
    </w:p>
    <w:p w14:paraId="35B6F56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agreements made before, the CG resource will be associated to SSB, thus the BWP should be overlapped with SSB. In addition, considering RACH procedure may be required in some cases, the RACH resource should be configured on the SDT-BWP.</w:t>
      </w:r>
    </w:p>
    <w:p w14:paraId="46F0C7E2"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Proposal 2: The SDT-BWP should be overlapped with SSB, and RACH resource should be configured on SDT-BWP.</w:t>
      </w:r>
    </w:p>
    <w:p w14:paraId="1E30F8AE"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To minimize the impact on specs, it seems the BWP structure defined for CONNECTED mode (i.e. BWP-Downlink/BWP-Uplink) can be reused for SDT. With the current structure BWP-Downlink/BWP-Uplink, besides the CG resource for SDT, one issue is whether other dedicated resource can be configured by NW as well (e.g. SR). </w:t>
      </w:r>
    </w:p>
    <w:p w14:paraId="57C0DAF0" w14:textId="02B2C0BD"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Although we have agreement </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SR resource is not configured for SDT. When the BSR is triggered by SDT data, the UE will trigger RA because SR resource is not available, same as legacy</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in the previous meeting, such agreement is mainly for RA-SDT. For CG-SDT, we don</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t see any showstopper for the configuration of such dedicated resource (e.g. SR) in case SDT-BWP is configured. In addition, it seems more discussion will be required if we want to figure out which dedicated resource is not applicable for CG-SDT for the SDT-BWP and </w:t>
      </w:r>
      <w:r w:rsidR="00061312">
        <w:rPr>
          <w:rFonts w:ascii="CG Times (WN)" w:eastAsia="Times New Roman" w:hAnsi="CG Times (WN)"/>
          <w:kern w:val="0"/>
          <w:szCs w:val="22"/>
          <w:lang w:val="en-US" w:eastAsia="zh-CN"/>
        </w:rPr>
        <w:t xml:space="preserve">to </w:t>
      </w:r>
      <w:r>
        <w:rPr>
          <w:rFonts w:ascii="CG Times (WN)" w:eastAsia="Times New Roman" w:hAnsi="CG Times (WN)" w:hint="eastAsia"/>
          <w:kern w:val="0"/>
          <w:szCs w:val="22"/>
          <w:lang w:val="en-US" w:eastAsia="zh-CN"/>
        </w:rPr>
        <w:t>add such restriction accordingly in specs. To minimize the impact and avoid unnecessary discussion, we prefer to allow the configuration of dedicated resources in SDT-BWP (i.e. the same as BWP used in CONNECTED mode).</w:t>
      </w:r>
    </w:p>
    <w:p w14:paraId="1C9C1E1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3: The IE BWP-Downlink/BWP-Uplink will be reused for the configuration of SDT-BWP. Besides the CG resource for SDT, other dedicated resource (e.g. SR) can be configured as well, and can be used by UE during SDT once configured.</w:t>
      </w:r>
    </w:p>
    <w:p w14:paraId="40F8DBF0" w14:textId="77777777" w:rsidR="00966323" w:rsidRDefault="006E3C83">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HARQ process selection</w:t>
      </w:r>
    </w:p>
    <w:p w14:paraId="261A4C9F"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following agreements have been made in RAN1#106</w:t>
      </w:r>
    </w:p>
    <w:p w14:paraId="59FA3FB5"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Agreements in RAN1#106 start ----------------------------------------</w:t>
      </w:r>
    </w:p>
    <w:p w14:paraId="706AFBAF" w14:textId="77777777" w:rsidR="00966323" w:rsidRDefault="006E3C83">
      <w:pPr>
        <w:numPr>
          <w:ilvl w:val="0"/>
          <w:numId w:val="8"/>
        </w:numPr>
        <w:spacing w:after="0"/>
        <w:rPr>
          <w:highlight w:val="yellow"/>
        </w:rPr>
      </w:pPr>
      <w:r>
        <w:rPr>
          <w:color w:val="000000"/>
          <w:highlight w:val="yellow"/>
        </w:rPr>
        <w:t>Each N of consecutive SSB indexes associated to one CG configuration are mapped to valid CG PUSCH resources</w:t>
      </w:r>
    </w:p>
    <w:p w14:paraId="53466F38" w14:textId="77777777" w:rsidR="00966323" w:rsidRDefault="006E3C83">
      <w:pPr>
        <w:numPr>
          <w:ilvl w:val="1"/>
          <w:numId w:val="9"/>
        </w:numPr>
        <w:spacing w:after="0"/>
      </w:pPr>
      <w:r>
        <w:rPr>
          <w:color w:val="000000"/>
        </w:rPr>
        <w:t xml:space="preserve">first, in increasing order of DMRS resource indexes, where a DMRS resource index </w:t>
      </w:r>
      <w:r>
        <w:rPr>
          <w:i/>
          <w:color w:val="000000"/>
        </w:rPr>
        <w:t>DMRS</w:t>
      </w:r>
      <w:r>
        <w:rPr>
          <w:i/>
          <w:color w:val="000000"/>
          <w:vertAlign w:val="subscript"/>
        </w:rPr>
        <w:t>id</w:t>
      </w:r>
      <w:r>
        <w:rPr>
          <w:color w:val="000000"/>
        </w:rPr>
        <w:t xml:space="preserve"> is determined first in an ascending order of a DMRS port index and second </w:t>
      </w:r>
      <w:r>
        <w:rPr>
          <w:color w:val="000000"/>
        </w:rPr>
        <w:lastRenderedPageBreak/>
        <w:t>in an ascending order of a DMRS sequence index</w:t>
      </w:r>
    </w:p>
    <w:p w14:paraId="5025A0EB" w14:textId="77777777" w:rsidR="00966323" w:rsidRDefault="006E3C83">
      <w:pPr>
        <w:numPr>
          <w:ilvl w:val="1"/>
          <w:numId w:val="9"/>
        </w:numPr>
        <w:spacing w:after="0"/>
        <w:rPr>
          <w:highlight w:val="yellow"/>
        </w:rPr>
      </w:pPr>
      <w:r>
        <w:rPr>
          <w:color w:val="000000"/>
          <w:highlight w:val="yellow"/>
        </w:rPr>
        <w:t>second, in increasing order of CG period indexes in the association period</w:t>
      </w:r>
    </w:p>
    <w:p w14:paraId="4E9B2E96" w14:textId="77777777" w:rsidR="00966323" w:rsidRDefault="006E3C83">
      <w:pPr>
        <w:numPr>
          <w:ilvl w:val="0"/>
          <w:numId w:val="10"/>
        </w:numPr>
        <w:spacing w:after="0"/>
        <w:rPr>
          <w:highlight w:val="yellow"/>
        </w:rPr>
      </w:pPr>
      <w:r>
        <w:rPr>
          <w:color w:val="000000"/>
          <w:highlight w:val="yellow"/>
        </w:rPr>
        <w:t>The mapping ratio N is explicitly signalled and the association period is implicitly derived</w:t>
      </w:r>
    </w:p>
    <w:p w14:paraId="32571AD1" w14:textId="77777777" w:rsidR="00966323" w:rsidRDefault="006E3C83">
      <w:pPr>
        <w:numPr>
          <w:ilvl w:val="1"/>
          <w:numId w:val="11"/>
        </w:numPr>
        <w:spacing w:after="0"/>
      </w:pPr>
      <w:r>
        <w:rPr>
          <w:color w:val="000000"/>
        </w:rPr>
        <w:t>FFS candidate value set of mapping ratio, and whether it is configured per CG configuration or per cell</w:t>
      </w:r>
    </w:p>
    <w:p w14:paraId="52AC9419" w14:textId="77777777" w:rsidR="00966323" w:rsidRDefault="006E3C83">
      <w:pPr>
        <w:numPr>
          <w:ilvl w:val="1"/>
          <w:numId w:val="11"/>
        </w:numPr>
        <w:spacing w:after="0"/>
        <w:rPr>
          <w:highlight w:val="yellow"/>
        </w:rPr>
      </w:pPr>
      <w:r>
        <w:rPr>
          <w:color w:val="000000"/>
          <w:highlight w:val="yellow"/>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41BA6A8F" w14:textId="77777777" w:rsidR="00966323" w:rsidRDefault="006E3C83">
      <w:pPr>
        <w:numPr>
          <w:ilvl w:val="1"/>
          <w:numId w:val="11"/>
        </w:numPr>
        <w:spacing w:after="0"/>
      </w:pPr>
      <w:r>
        <w:rPr>
          <w:color w:val="000000"/>
        </w:rPr>
        <w:t>An association pattern period includes one or more association periods and is determined so that a pattern between CG PUSCH occasions and SS/PBCH block indexes associated with the CG configuration repeats at most every 640 msec.</w:t>
      </w:r>
    </w:p>
    <w:p w14:paraId="2796C3DF" w14:textId="77777777" w:rsidR="00966323" w:rsidRDefault="006E3C83">
      <w:pPr>
        <w:numPr>
          <w:ilvl w:val="0"/>
          <w:numId w:val="12"/>
        </w:numPr>
        <w:spacing w:after="0"/>
      </w:pPr>
      <w:r>
        <w:rPr>
          <w:color w:val="000000"/>
        </w:rPr>
        <w:t>Note: The mapping ordering and steps may be revisited if multiple CG PUSCH occasions in one CG period is supported</w:t>
      </w:r>
    </w:p>
    <w:p w14:paraId="5DE50645"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Agreements in RAN1#106 end ----------------------------------------</w:t>
      </w:r>
    </w:p>
    <w:p w14:paraId="362E711D" w14:textId="029232F9"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kern w:val="0"/>
          <w:szCs w:val="22"/>
          <w:lang w:val="en-US" w:eastAsia="zh-CN"/>
        </w:rPr>
        <w:t>Based on the agreements above, it can be observed that different SSB may be mapped to different CG occasion, and the association period is implicitly derived. One example is shown as follow</w:t>
      </w:r>
      <w:r w:rsidR="00CE7DE5">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in which case SSB 1/2 are mapped to CG occasion 1/3, and SSB 3/4 are mapped to CG occasion2/4, the association period include</w:t>
      </w:r>
      <w:r w:rsidR="00CE7DE5">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two CG occasions.</w:t>
      </w:r>
    </w:p>
    <w:p w14:paraId="2EB63C87"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b/>
          <w:bCs/>
          <w:kern w:val="0"/>
          <w:szCs w:val="22"/>
          <w:lang w:val="en-US" w:eastAsia="zh-CN"/>
        </w:rPr>
        <w:object w:dxaOrig="9024" w:dyaOrig="2274" w14:anchorId="1A57D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13.45pt" o:ole="">
            <v:imagedata r:id="rId9" o:title=""/>
            <o:lock v:ext="edit" aspectratio="f"/>
          </v:shape>
          <o:OLEObject Type="Embed" ProgID="Visio.Drawing.15" ShapeID="_x0000_i1025" DrawAspect="Content" ObjectID="_1696339244" r:id="rId10"/>
        </w:object>
      </w:r>
    </w:p>
    <w:p w14:paraId="203CDC77"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HARQ process ID is determined based on the text below in MAC specs.</w:t>
      </w:r>
    </w:p>
    <w:p w14:paraId="59E27767"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From 38.321 start ------------------------------------------------</w:t>
      </w:r>
    </w:p>
    <w:p w14:paraId="600B90C5" w14:textId="77777777" w:rsidR="00966323" w:rsidRDefault="006E3C83">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cg-RetransmissionTimer</w:t>
      </w:r>
      <w:r>
        <w:rPr>
          <w:lang w:eastAsia="ko-KR"/>
        </w:rPr>
        <w:t xml:space="preserve">, </w:t>
      </w:r>
      <w:r>
        <w:rPr>
          <w:highlight w:val="yellow"/>
          <w:lang w:eastAsia="ko-KR"/>
        </w:rPr>
        <w:t>the HARQ Process ID associated with the first symbol of a UL transmission</w:t>
      </w:r>
      <w:r>
        <w:rPr>
          <w:lang w:eastAsia="ko-KR"/>
        </w:rPr>
        <w:t xml:space="preserve"> is derived from the following equation:</w:t>
      </w:r>
    </w:p>
    <w:p w14:paraId="36BDB40D" w14:textId="77777777" w:rsidR="00966323" w:rsidRDefault="006E3C83">
      <w:pPr>
        <w:jc w:val="center"/>
        <w:rPr>
          <w:lang w:eastAsia="ko-KR"/>
        </w:rPr>
      </w:pPr>
      <w:r>
        <w:rPr>
          <w:lang w:eastAsia="ko-KR"/>
        </w:rPr>
        <w:t>HARQ Process ID = [floor(CURRENT_symbol/</w:t>
      </w:r>
      <w:r>
        <w:rPr>
          <w:i/>
          <w:lang w:eastAsia="ko-KR"/>
        </w:rPr>
        <w:t>periodicity</w:t>
      </w:r>
      <w:r>
        <w:rPr>
          <w:lang w:eastAsia="ko-KR"/>
        </w:rPr>
        <w:t xml:space="preserve">)] modulo </w:t>
      </w:r>
      <w:r>
        <w:rPr>
          <w:i/>
          <w:lang w:eastAsia="ko-KR"/>
        </w:rPr>
        <w:t>nrofHARQ-Processes</w:t>
      </w:r>
    </w:p>
    <w:p w14:paraId="26B13270" w14:textId="77777777" w:rsidR="00966323" w:rsidRDefault="006E3C83">
      <w:pPr>
        <w:rPr>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14:paraId="76E8B2C0" w14:textId="77777777" w:rsidR="00966323" w:rsidRDefault="006E3C83">
      <w:pPr>
        <w:pStyle w:val="EQ"/>
        <w:jc w:val="center"/>
        <w:rPr>
          <w:i/>
          <w:lang w:eastAsia="ko-KR"/>
        </w:rPr>
      </w:pPr>
      <w:r>
        <w:rPr>
          <w:lang w:eastAsia="ko-KR"/>
        </w:rPr>
        <w:lastRenderedPageBreak/>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581E5534" w14:textId="77777777" w:rsidR="00966323" w:rsidRDefault="006E3C83">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14:paraId="1EB783A2"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From 38.321 end ------------------------------------------------</w:t>
      </w:r>
    </w:p>
    <w:p w14:paraId="0141AC3B"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According to current specs, the HARQ process ID is determined based on the first symbol of a UL transmission. Therefore, if we reuse the R16 URLLC mechanism for UE autonomous retransmission, the retransmission can only be performed on the same HARQ process ID. Since the HARQ process ID is determined based on the first symbol of UL CG occasion, only the SSB mapped to the same HARQ process ID can be used for the UE autonomous HARQ retransmission. </w:t>
      </w:r>
    </w:p>
    <w:p w14:paraId="4F7906C2"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SDT, the following alternatives can be considered:</w:t>
      </w:r>
    </w:p>
    <w:p w14:paraId="71052A93" w14:textId="77777777" w:rsidR="00966323" w:rsidRDefault="006E3C83">
      <w:pPr>
        <w:widowControl/>
        <w:numPr>
          <w:ilvl w:val="0"/>
          <w:numId w:val="13"/>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Alternative 1: Reuse current approach for licensed band, and determine the HARQ process ID separately for each UL CG occasion. In this alternative, the UE autonomous retransmission can only be performed on the CG occasion mapped to the same HARQ process ID.</w:t>
      </w:r>
    </w:p>
    <w:p w14:paraId="6E3F367F" w14:textId="77777777" w:rsidR="00966323" w:rsidRDefault="006E3C83">
      <w:pPr>
        <w:widowControl/>
        <w:numPr>
          <w:ilvl w:val="0"/>
          <w:numId w:val="13"/>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Alternative 2: Indicate the HARQ process ID explicitly in UCI (reuse the NR-U approach). In this alternative, the NR-U based UE autonomous retransmission mechanism will be used (i.e. the retransmission can be performed on any CG occasion with qualified SSB, and UCI will be used to indicate the associated HARQ process ID).</w:t>
      </w:r>
    </w:p>
    <w:p w14:paraId="0A1A91F6" w14:textId="5668191C" w:rsidR="00966323" w:rsidRDefault="006E3C83">
      <w:pPr>
        <w:widowControl/>
        <w:numPr>
          <w:ilvl w:val="0"/>
          <w:numId w:val="13"/>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Alternative 3: Consider the HARQ occasions within one SSB to CG PUSCH association period as a bundle, and determine the HARQ process ID based the first symbol of the first UL transmission within the bundle. In this alternative, the URLLC UE autonomous retransmission can be reused (i.e. retransmission can be made on the CG resource associated to the same HARQ process ID), but UE is only allowed to use one CG occasion within the SSB to CG PUSCH association period, which may lead to a </w:t>
      </w:r>
      <w:r w:rsidR="00CE7DE5">
        <w:rPr>
          <w:rFonts w:ascii="CG Times (WN)" w:eastAsia="Times New Roman" w:hAnsi="CG Times (WN)"/>
          <w:kern w:val="0"/>
          <w:szCs w:val="22"/>
          <w:lang w:val="en-US" w:eastAsia="zh-CN"/>
        </w:rPr>
        <w:t>waste</w:t>
      </w:r>
      <w:r>
        <w:rPr>
          <w:rFonts w:ascii="CG Times (WN)" w:eastAsia="Times New Roman" w:hAnsi="CG Times (WN)" w:hint="eastAsia"/>
          <w:kern w:val="0"/>
          <w:szCs w:val="22"/>
          <w:lang w:val="en-US" w:eastAsia="zh-CN"/>
        </w:rPr>
        <w:t xml:space="preserve"> of CG resource.</w:t>
      </w:r>
    </w:p>
    <w:p w14:paraId="385E4C88"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tbl>
      <w:tblPr>
        <w:tblStyle w:val="TableGrid"/>
        <w:tblW w:w="0" w:type="auto"/>
        <w:tblLook w:val="04A0" w:firstRow="1" w:lastRow="0" w:firstColumn="1" w:lastColumn="0" w:noHBand="0" w:noVBand="1"/>
      </w:tblPr>
      <w:tblGrid>
        <w:gridCol w:w="790"/>
        <w:gridCol w:w="3033"/>
        <w:gridCol w:w="2920"/>
        <w:gridCol w:w="2273"/>
      </w:tblGrid>
      <w:tr w:rsidR="00966323" w14:paraId="11210FA4" w14:textId="77777777" w:rsidTr="00F87AAD">
        <w:tc>
          <w:tcPr>
            <w:tcW w:w="790" w:type="dxa"/>
          </w:tcPr>
          <w:p w14:paraId="14AABFCC"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NO.</w:t>
            </w:r>
          </w:p>
        </w:tc>
        <w:tc>
          <w:tcPr>
            <w:tcW w:w="3033" w:type="dxa"/>
          </w:tcPr>
          <w:p w14:paraId="758CA609"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Alternatives</w:t>
            </w:r>
          </w:p>
        </w:tc>
        <w:tc>
          <w:tcPr>
            <w:tcW w:w="2920" w:type="dxa"/>
          </w:tcPr>
          <w:p w14:paraId="2FCA9890"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Pros</w:t>
            </w:r>
          </w:p>
        </w:tc>
        <w:tc>
          <w:tcPr>
            <w:tcW w:w="2273" w:type="dxa"/>
          </w:tcPr>
          <w:p w14:paraId="0A4B985E"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w:t>
            </w:r>
          </w:p>
        </w:tc>
      </w:tr>
      <w:tr w:rsidR="00966323" w14:paraId="138ED5A3" w14:textId="77777777" w:rsidTr="00F87AAD">
        <w:tc>
          <w:tcPr>
            <w:tcW w:w="790" w:type="dxa"/>
          </w:tcPr>
          <w:p w14:paraId="3C61B09D"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1</w:t>
            </w:r>
          </w:p>
        </w:tc>
        <w:tc>
          <w:tcPr>
            <w:tcW w:w="3033" w:type="dxa"/>
          </w:tcPr>
          <w:p w14:paraId="0AC14D0E"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HARQ process ID is determined by the first UL symbol of the CG occasion </w:t>
            </w:r>
            <w:r>
              <w:rPr>
                <w:rFonts w:ascii="CG Times (WN)" w:eastAsia="Times New Roman" w:hAnsi="CG Times (WN)" w:hint="eastAsia"/>
                <w:kern w:val="0"/>
                <w:szCs w:val="22"/>
                <w:lang w:val="en-US" w:eastAsia="zh-CN"/>
              </w:rPr>
              <w:lastRenderedPageBreak/>
              <w:t>(R16 URLLC similar approach)</w:t>
            </w:r>
          </w:p>
        </w:tc>
        <w:tc>
          <w:tcPr>
            <w:tcW w:w="2920" w:type="dxa"/>
          </w:tcPr>
          <w:p w14:paraId="34B5D9A5"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Low complexity in both standardization and implementation.</w:t>
            </w:r>
          </w:p>
        </w:tc>
        <w:tc>
          <w:tcPr>
            <w:tcW w:w="2273" w:type="dxa"/>
          </w:tcPr>
          <w:p w14:paraId="3F6B5453"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UE autonomous retransmission can only be performed on the SSB associated </w:t>
            </w:r>
            <w:r>
              <w:rPr>
                <w:rFonts w:ascii="CG Times (WN)" w:eastAsia="Times New Roman" w:hAnsi="CG Times (WN)" w:hint="eastAsia"/>
                <w:kern w:val="0"/>
                <w:szCs w:val="22"/>
                <w:lang w:val="en-US" w:eastAsia="zh-CN"/>
              </w:rPr>
              <w:lastRenderedPageBreak/>
              <w:t>to the same CG occasion.</w:t>
            </w:r>
          </w:p>
        </w:tc>
      </w:tr>
      <w:tr w:rsidR="00966323" w14:paraId="135E15CF" w14:textId="77777777" w:rsidTr="00F87AAD">
        <w:tc>
          <w:tcPr>
            <w:tcW w:w="790" w:type="dxa"/>
          </w:tcPr>
          <w:p w14:paraId="69A68DC0"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2</w:t>
            </w:r>
          </w:p>
        </w:tc>
        <w:tc>
          <w:tcPr>
            <w:tcW w:w="3033" w:type="dxa"/>
          </w:tcPr>
          <w:p w14:paraId="35990027"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HARQ process ID is indicated by UCI (R16 NR-U similar approach)</w:t>
            </w:r>
          </w:p>
        </w:tc>
        <w:tc>
          <w:tcPr>
            <w:tcW w:w="2920" w:type="dxa"/>
          </w:tcPr>
          <w:p w14:paraId="49A7A63E"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Low complexity in standardization (i.e. NR-U based approach is reused).</w:t>
            </w:r>
          </w:p>
          <w:p w14:paraId="3FA17CB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Retransmission can be performed on any CG occasions with qualified SSB.</w:t>
            </w:r>
          </w:p>
        </w:tc>
        <w:tc>
          <w:tcPr>
            <w:tcW w:w="2273" w:type="dxa"/>
          </w:tcPr>
          <w:p w14:paraId="3139D99C"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UE need to support the NR-U based mechanism for UE autonomous retransmission.</w:t>
            </w:r>
          </w:p>
        </w:tc>
      </w:tr>
      <w:tr w:rsidR="00966323" w14:paraId="527B0929" w14:textId="77777777" w:rsidTr="00F87AAD">
        <w:tc>
          <w:tcPr>
            <w:tcW w:w="790" w:type="dxa"/>
          </w:tcPr>
          <w:p w14:paraId="1B775B67"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3</w:t>
            </w:r>
          </w:p>
        </w:tc>
        <w:tc>
          <w:tcPr>
            <w:tcW w:w="3033" w:type="dxa"/>
          </w:tcPr>
          <w:p w14:paraId="4CFA308B"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All the CG occasion within the same SSB-PUSCH association period will be mapped to the same HARQ process ID, and the HARQ process ID will be determined based on the first UL symbol of the first UL CG occasion within the SSB-PUSCH association period</w:t>
            </w:r>
          </w:p>
        </w:tc>
        <w:tc>
          <w:tcPr>
            <w:tcW w:w="2920" w:type="dxa"/>
          </w:tcPr>
          <w:p w14:paraId="35253231"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Retransmission can be performed on any SSB with CG resource.</w:t>
            </w:r>
          </w:p>
        </w:tc>
        <w:tc>
          <w:tcPr>
            <w:tcW w:w="2273" w:type="dxa"/>
          </w:tcPr>
          <w:p w14:paraId="6F0358A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New mechanism need to be specified for SDT.</w:t>
            </w:r>
          </w:p>
          <w:p w14:paraId="6E6C796C"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Only one CG occasion within one SSB-PUSCH association period can be used for new CG transmission. The resource efficiency is low.</w:t>
            </w:r>
          </w:p>
        </w:tc>
      </w:tr>
    </w:tbl>
    <w:p w14:paraId="551B5D82"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15DF287C"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table above, it can be observed that each alternative have pros and cons. RAN2 is kindly asked to discuss all the alternatives above , and do the down selection accordingly.</w:t>
      </w:r>
    </w:p>
    <w:p w14:paraId="2D20D1DF"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4: Discuss the following alternatives for HARQ ID calculation and do the down selection accordingly.</w:t>
      </w:r>
    </w:p>
    <w:p w14:paraId="5F203406" w14:textId="77777777" w:rsidR="00966323" w:rsidRDefault="006E3C83">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HARQ process ID is determined by the first UL symbol of the CG occasion (legacy behaviour for licensed carrier)</w:t>
      </w:r>
    </w:p>
    <w:p w14:paraId="7178A61D" w14:textId="77777777" w:rsidR="00966323" w:rsidRDefault="006E3C83">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HARQ process ID is indicated by UCI (R16 NR-U similar approach)</w:t>
      </w:r>
    </w:p>
    <w:p w14:paraId="3C89A1DE" w14:textId="77777777" w:rsidR="00966323" w:rsidRDefault="006E3C83">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All the CG occasion within the same SSB-PUSCH association period will be mapped to the same HARQ process ID, and the HARQ process ID will be determined based on the first UL symbol of the first UL CG occasion within the SSB-PUSCH association period</w:t>
      </w:r>
    </w:p>
    <w:p w14:paraId="07139AE4"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629DD1F" w14:textId="77777777" w:rsidR="00966323" w:rsidRDefault="006E3C83">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lastRenderedPageBreak/>
        <w:t>Fallback from CG-SDT to RA-SDT</w:t>
      </w:r>
    </w:p>
    <w:p w14:paraId="5F149BE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Fallback from CG-SDT to RA-SDT has been discussed in the email meeting, but it seems different company have different understanding on the fallback scenario and operation. To have clear understanding on the fallback operation from CG-SDT to RA-SDT, we prefer to clarify definition RA-SDT, CG-SDT and fallback operation from CG-SDT to RA-SDT.</w:t>
      </w:r>
    </w:p>
    <w:p w14:paraId="34AD6B6C" w14:textId="7CE527A3"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5: Clarify the definition RA-SDT, CG-SDT and fallback operation from CG-SDT to RA-SDT as follow</w:t>
      </w:r>
      <w:r w:rsidR="00CE7DE5">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w:t>
      </w:r>
    </w:p>
    <w:p w14:paraId="7BFECFCB"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RA-SDT: The initial UL CCCH message for SDT is transmitted in RACH procedure through either Msg3 or MsgA.</w:t>
      </w:r>
    </w:p>
    <w:p w14:paraId="79769C79"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CG-SDT: The initial UL CCCH message for SDT is transmitted through CG resource. </w:t>
      </w:r>
    </w:p>
    <w:p w14:paraId="565DC65E"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Fallback from CG-SDT to RA-SDT: The initial UL CCCH message is first transmitted through CG resource. However, due to the transmission failure through CG resource, the UE fallback to RACH procedure and re-transmit the initial UL CCCH message through either Msg3 (i.e. 4-step RACH) or MsgA (i.e. 2-step RACH) during RACH procedure.</w:t>
      </w:r>
    </w:p>
    <w:p w14:paraId="668FDA17"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37AE8B4F"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definition proposed above, it can be observed that RACH procedure triggered during the subsequent data transmission does not mean the UE fallback to RA-SDT. </w:t>
      </w:r>
    </w:p>
    <w:p w14:paraId="3E231F3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addition, considering the SDT type selection will be made before the initialization of CG-SDT, and CG-SDT will not be selected in case no qualified SSB with CG-SDT resource can be found, no qualified CG-SDT before the initialization of CG-SDT shall not be considered as fallback operation as well.</w:t>
      </w:r>
    </w:p>
    <w:p w14:paraId="6470EEFF"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Observation 1: The following cases shall not be considered as fallback from CG-SDT to RA-SDT</w:t>
      </w:r>
    </w:p>
    <w:p w14:paraId="5B8D960F"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RA-SDT is selected in the SDT type selection due to the lack of qualified SSB associated with CG-SDT resource, in which case the initial UL CCCH message will be transmitted through Msg3/MsgA directly (i.e. there is no fallback).</w:t>
      </w:r>
    </w:p>
    <w:p w14:paraId="61C2AD17"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RACH procedure is triggered in the subsequent data transmission for CG-SDT, in which case the UL CCCH message has already been transmitted successfully through CG-SDT.</w:t>
      </w:r>
    </w:p>
    <w:p w14:paraId="04773DED"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fallback operation, the initial UL CCCH message will first be transmitted through CG resource, and be re-transmitted through RACH procedure. To have better understanding on the fallback procedure, the following open issues need to be discussed:</w:t>
      </w:r>
    </w:p>
    <w:p w14:paraId="6D8F5628"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Which BWP will be used for the fallback RA-SDT, dedicated BWP or initial BWP?</w:t>
      </w:r>
    </w:p>
    <w:p w14:paraId="2EE92B0D" w14:textId="77777777" w:rsidR="00966323" w:rsidRDefault="006E3C83">
      <w:pPr>
        <w:widowControl/>
        <w:overflowPunct w:val="0"/>
        <w:autoSpaceDE w:val="0"/>
        <w:autoSpaceDN w:val="0"/>
        <w:adjustRightInd w:val="0"/>
        <w:spacing w:after="180" w:line="240" w:lineRule="auto"/>
        <w:ind w:left="420"/>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CG-SDT, the dedicated BWP can be configured and UE will initiate CG-SDT on the dedicated BWP. However, for the RA-SDT, it seems only the initial BWP is allowed. Therefore, one issue need to be clarified is wihch BWP will be used in case the UE fallback from CG-SDT to RA-SDT (i.e. from dedicated BWP to initial BWP)? </w:t>
      </w:r>
    </w:p>
    <w:p w14:paraId="42256891" w14:textId="77777777" w:rsidR="00966323" w:rsidRDefault="006E3C83">
      <w:pPr>
        <w:widowControl/>
        <w:overflowPunct w:val="0"/>
        <w:autoSpaceDE w:val="0"/>
        <w:autoSpaceDN w:val="0"/>
        <w:adjustRightInd w:val="0"/>
        <w:spacing w:after="180" w:line="240" w:lineRule="auto"/>
        <w:ind w:left="420"/>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If dedicated BWP is used, then it seems different from RA-SDT．More discussion will be required to understand which search space will be used for the Msg2/MsgB reception, and whether the NW need to distinguish the fallback RA-SDT and normal RA-SDT?</w:t>
      </w:r>
    </w:p>
    <w:p w14:paraId="30294A29"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Whether RRC will be involved in the fallback operation?</w:t>
      </w:r>
    </w:p>
    <w:p w14:paraId="3B0EC54F" w14:textId="77777777" w:rsidR="00966323" w:rsidRDefault="006E3C83">
      <w:pPr>
        <w:widowControl/>
        <w:overflowPunct w:val="0"/>
        <w:autoSpaceDE w:val="0"/>
        <w:autoSpaceDN w:val="0"/>
        <w:adjustRightInd w:val="0"/>
        <w:spacing w:after="180" w:line="240" w:lineRule="auto"/>
        <w:ind w:left="420"/>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the RA-SDT, the default MAC configuration will be used and will be configured by RRC layer. In the fallback operation, it is no clear whether the RRC will be involved to configure the default configuration to MAC. In addition, it is not clear whether different RRC level timer will be used for CG-SDT and RA-SDT.</w:t>
      </w:r>
    </w:p>
    <w:p w14:paraId="40B44D4D"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Whether the CG-SDT resource shall be released?</w:t>
      </w:r>
    </w:p>
    <w:p w14:paraId="60066880" w14:textId="77777777" w:rsidR="00966323" w:rsidRDefault="006E3C83">
      <w:pPr>
        <w:widowControl/>
        <w:overflowPunct w:val="0"/>
        <w:autoSpaceDE w:val="0"/>
        <w:autoSpaceDN w:val="0"/>
        <w:adjustRightInd w:val="0"/>
        <w:spacing w:after="180" w:line="240" w:lineRule="auto"/>
        <w:ind w:left="420"/>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Once the UE fallback from CG-SDT to RA-SDT, whether the CG-SDT resource should be released? If no, whether the CG resource can still be used if qualified SSB can be found in the subsequent data transmission.</w:t>
      </w:r>
    </w:p>
    <w:p w14:paraId="70E3D50F"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open issues identified above, it seems there are still lots of open issue for the fallback operation. </w:t>
      </w:r>
    </w:p>
    <w:p w14:paraId="6F718321"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Observation 2: For the fallback from CG-SDT to RA-SDT, more discuss</w:t>
      </w:r>
      <w:r>
        <w:rPr>
          <w:rFonts w:ascii="CG Times (WN)" w:eastAsia="Times New Roman" w:hAnsi="CG Times (WN)"/>
          <w:b/>
          <w:bCs/>
          <w:kern w:val="0"/>
          <w:szCs w:val="22"/>
          <w:lang w:val="en-US" w:eastAsia="zh-CN"/>
        </w:rPr>
        <w:t>ion</w:t>
      </w:r>
      <w:r>
        <w:rPr>
          <w:rFonts w:ascii="CG Times (WN)" w:eastAsia="Times New Roman" w:hAnsi="CG Times (WN)" w:hint="eastAsia"/>
          <w:b/>
          <w:bCs/>
          <w:kern w:val="0"/>
          <w:szCs w:val="22"/>
          <w:lang w:val="en-US" w:eastAsia="zh-CN"/>
        </w:rPr>
        <w:t xml:space="preserve"> is required for the following issues:</w:t>
      </w:r>
    </w:p>
    <w:p w14:paraId="70C06B5E" w14:textId="77777777" w:rsidR="00966323" w:rsidRDefault="006E3C83">
      <w:pPr>
        <w:widowControl/>
        <w:numPr>
          <w:ilvl w:val="0"/>
          <w:numId w:val="16"/>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Which BWP will be used for the fallback RA-SDT, dedicated SDT-BWP or initial BWP?</w:t>
      </w:r>
    </w:p>
    <w:p w14:paraId="20E3E205" w14:textId="77777777" w:rsidR="00966323" w:rsidRDefault="006E3C83">
      <w:pPr>
        <w:widowControl/>
        <w:numPr>
          <w:ilvl w:val="0"/>
          <w:numId w:val="16"/>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Whether RRC will be involved in the fallback operation (e.g. configure the default MAC configuration to MAC)?</w:t>
      </w:r>
    </w:p>
    <w:p w14:paraId="6162B0CE" w14:textId="77777777" w:rsidR="00966323" w:rsidRDefault="006E3C83">
      <w:pPr>
        <w:widowControl/>
        <w:numPr>
          <w:ilvl w:val="0"/>
          <w:numId w:val="16"/>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Whether the CG-SDT resource shall be released?</w:t>
      </w:r>
    </w:p>
    <w:p w14:paraId="2225CA9F"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1EDAEBF0"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addition, according to the analysis given in sections above, in case the UE initiate the initial UL transmission through CG resource, and no qualified SSB can be found in the CG occasion for the retransmission, the UE can simply ignore the CG grant and wait for the next CG occasion. If the CCCH message can still not be transmitted successfully before the expiration of T319 similar timer, then SDT failure will be declared to upper layer. Considering the CG-SDT will only be selected in case the RSRP is good and qualified SSB with CG resource can be found, we think it is a corner case where no qualified SSB for CG-SDT can be found for the UL CCCH message transmission. Also considering the limited time budget, we prefer not to support the fallback from CG-SDT to RA-SDT, and put more effort on the essential function for SDT.</w:t>
      </w:r>
    </w:p>
    <w:p w14:paraId="4F9A162D"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Observation 3: The UE autonomous retransmission can be performed to re-transmit the CCCH message through CG resource. And T319 similar timer can be used to terminate the CG SDT in case the UE autonomous retransmission can not work (e.g. no qualified SSB can be found in a period of time). </w:t>
      </w:r>
    </w:p>
    <w:p w14:paraId="65519AD5" w14:textId="77777777" w:rsidR="00966323" w:rsidRDefault="006E3C83">
      <w:pPr>
        <w:overflowPunct w:val="0"/>
        <w:autoSpaceDE w:val="0"/>
        <w:autoSpaceDN w:val="0"/>
        <w:adjustRightInd w:val="0"/>
        <w:spacing w:after="180" w:line="240" w:lineRule="auto"/>
        <w:textAlignment w:val="baseline"/>
        <w:rPr>
          <w:rFonts w:ascii="CG Times (WN)" w:eastAsia="Times New Roman" w:hAnsi="CG Times (WN)"/>
          <w:b/>
          <w:bCs/>
          <w:szCs w:val="22"/>
          <w:lang w:val="en-US" w:eastAsia="zh-CN"/>
        </w:rPr>
      </w:pPr>
      <w:r>
        <w:rPr>
          <w:rFonts w:ascii="CG Times (WN)" w:eastAsia="Times New Roman" w:hAnsi="CG Times (WN)" w:hint="eastAsia"/>
          <w:b/>
          <w:bCs/>
          <w:kern w:val="0"/>
          <w:szCs w:val="22"/>
          <w:lang w:val="en-US" w:eastAsia="zh-CN"/>
        </w:rPr>
        <w:t>Proposal 6: Fallback from CG-SDT to RA-SDT is not supported in Rel-17.</w:t>
      </w:r>
    </w:p>
    <w:p w14:paraId="06ADB918"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51A28DC8" w14:textId="77777777" w:rsidR="00966323" w:rsidRDefault="006E3C83">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Other</w:t>
      </w:r>
    </w:p>
    <w:p w14:paraId="6426171B" w14:textId="77777777" w:rsidR="00966323" w:rsidRDefault="006E3C83">
      <w:pPr>
        <w:pStyle w:val="ListParagraph"/>
        <w:ind w:firstLineChars="0" w:firstLine="0"/>
        <w:rPr>
          <w:lang w:val="en-US" w:eastAsia="zh-CN"/>
        </w:rPr>
      </w:pPr>
      <w:r>
        <w:rPr>
          <w:rFonts w:hint="eastAsia"/>
          <w:lang w:val="en-US" w:eastAsia="zh-CN"/>
        </w:rPr>
        <w:t xml:space="preserve">For the CS-RNTI, it has been agreed that </w:t>
      </w:r>
      <w:r>
        <w:rPr>
          <w:lang w:val="en-US" w:eastAsia="zh-CN"/>
        </w:rPr>
        <w:t>“</w:t>
      </w:r>
      <w:r>
        <w:t>CS-RNTI based dynamic retransmission mechanism can be reused for CG-SDT</w:t>
      </w:r>
      <w:r>
        <w:rPr>
          <w:lang w:val="en-US" w:eastAsia="zh-CN"/>
        </w:rPr>
        <w:t>”</w:t>
      </w:r>
      <w:r>
        <w:rPr>
          <w:rFonts w:hint="eastAsia"/>
          <w:lang w:val="en-US" w:eastAsia="zh-CN"/>
        </w:rPr>
        <w:t xml:space="preserve">, and it is </w:t>
      </w:r>
      <w:r>
        <w:t>FFS whether CS-RNTI is the same one as the one previously configured in RRC_CONNECTED or a new CS-RNTI one is provided to the UE</w:t>
      </w:r>
      <w:r>
        <w:rPr>
          <w:rFonts w:hint="eastAsia"/>
          <w:lang w:val="en-US" w:eastAsia="zh-CN"/>
        </w:rPr>
        <w:t>.</w:t>
      </w:r>
    </w:p>
    <w:p w14:paraId="245164C4" w14:textId="77777777" w:rsidR="00966323" w:rsidRDefault="006E3C83">
      <w:pPr>
        <w:pStyle w:val="ListParagraph"/>
        <w:ind w:firstLineChars="0" w:firstLine="0"/>
        <w:rPr>
          <w:lang w:val="en-US" w:eastAsia="zh-CN"/>
        </w:rPr>
      </w:pPr>
      <w:r>
        <w:rPr>
          <w:rFonts w:hint="eastAsia"/>
          <w:lang w:val="en-US" w:eastAsia="zh-CN"/>
        </w:rPr>
        <w:t>Considering the there may be no CG resource configured before SDT, configuration of CS-RNTI for SDT should be supported. However, if there is CS-RNTI configured before UE is released to INACTIVE, then there is no need to configured another different CS-RNTI.</w:t>
      </w:r>
    </w:p>
    <w:p w14:paraId="619373A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7：If the CS-RNTI is configured before UE is released to INACTIVE, then it should be reused. Otherwise, a new CS-RNTI can be configured in RRC release message.</w:t>
      </w:r>
    </w:p>
    <w:p w14:paraId="70C83C82"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4CC63093" w14:textId="77777777" w:rsidR="00966323" w:rsidRDefault="006E3C8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6A42603A"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analysis above, the following observations and proposals are provided:</w:t>
      </w:r>
    </w:p>
    <w:p w14:paraId="0F726F55" w14:textId="77777777" w:rsidR="00966323" w:rsidRDefault="006E3C83">
      <w:pPr>
        <w:rPr>
          <w:u w:val="single"/>
        </w:rPr>
      </w:pPr>
      <w:r>
        <w:rPr>
          <w:rFonts w:cs="Arial" w:hint="eastAsia"/>
          <w:szCs w:val="36"/>
          <w:u w:val="single"/>
          <w:lang w:val="en-US" w:eastAsia="zh-CN"/>
        </w:rPr>
        <w:t>Resource configuration for CG based SDT</w:t>
      </w:r>
    </w:p>
    <w:p w14:paraId="3C459E03"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1: </w:t>
      </w:r>
      <w:r>
        <w:rPr>
          <w:rFonts w:ascii="CG Times (WN)" w:eastAsia="Times New Roman" w:hAnsi="CG Times (WN)"/>
          <w:b/>
          <w:bCs/>
          <w:kern w:val="0"/>
          <w:szCs w:val="22"/>
          <w:lang w:val="en-US" w:eastAsia="zh-CN"/>
        </w:rPr>
        <w:t>if RAN1 confirms the feasibility of separate BWP for SDT, f</w:t>
      </w:r>
      <w:r>
        <w:rPr>
          <w:rFonts w:ascii="CG Times (WN)" w:eastAsia="Times New Roman" w:hAnsi="CG Times (WN)" w:hint="eastAsia"/>
          <w:b/>
          <w:bCs/>
          <w:kern w:val="0"/>
          <w:szCs w:val="22"/>
          <w:lang w:val="en-US" w:eastAsia="zh-CN"/>
        </w:rPr>
        <w:t>or each UE, only one BWP can be configured for SDT. And the SDT-BWP can be either a separate BWP for SDT specifically, or a BWP configured for CONNECTED mode (i.e. reuse one BWP for CONNECTED mode).</w:t>
      </w:r>
    </w:p>
    <w:p w14:paraId="55CB9A5A"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Proposal 2: The SDT-BWP should be overlapped with SSB, and RACH resource should be configured on SDT-BWP.</w:t>
      </w:r>
    </w:p>
    <w:p w14:paraId="7EED508C"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3: The IE BWP-Downlink/BWP-Uplink will be reused for the configuration of SDT-BWP. Besides the CG resource for SDT, other dedicated resource (e.g. SR) can be configured as well, and can be used by UE during SDT once configured.</w:t>
      </w:r>
    </w:p>
    <w:p w14:paraId="33BB7631" w14:textId="77777777" w:rsidR="00966323" w:rsidRDefault="006E3C83">
      <w:pPr>
        <w:rPr>
          <w:rFonts w:cs="Arial"/>
          <w:szCs w:val="36"/>
          <w:u w:val="single"/>
          <w:lang w:val="en-US" w:eastAsia="zh-CN"/>
        </w:rPr>
      </w:pPr>
      <w:r>
        <w:rPr>
          <w:rFonts w:cs="Arial" w:hint="eastAsia"/>
          <w:szCs w:val="36"/>
          <w:u w:val="single"/>
          <w:lang w:val="en-US" w:eastAsia="zh-CN"/>
        </w:rPr>
        <w:t>HARQ process selection</w:t>
      </w:r>
    </w:p>
    <w:p w14:paraId="32B4E5B9"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Proposal 4: Discuss the following alternatives for HARQ ID calculation and do the down selection accordingly.</w:t>
      </w:r>
    </w:p>
    <w:p w14:paraId="60DDC8B1" w14:textId="77777777" w:rsidR="00CE7DE5" w:rsidRDefault="00CE7DE5" w:rsidP="00CE7DE5">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HARQ process ID is determined by the first UL symbol of the CG occasion (legacy behaviour for licensed carrier)</w:t>
      </w:r>
    </w:p>
    <w:p w14:paraId="37690A04" w14:textId="77777777" w:rsidR="00CE7DE5" w:rsidRDefault="00CE7DE5" w:rsidP="00CE7DE5">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HARQ process ID is indicated by UCI (R16 NR-U similar approach)</w:t>
      </w:r>
    </w:p>
    <w:p w14:paraId="172E50C6" w14:textId="53B1FB84" w:rsidR="00966323" w:rsidRDefault="00CE7DE5" w:rsidP="00CE7DE5">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All the CG occasion within the same SSB-PUSCH association period will be mapped to the same HARQ process ID, and the HARQ process ID will be determined based on the first UL symbol of the first UL CG occasion within the SSB-PUSCH association period</w:t>
      </w:r>
    </w:p>
    <w:tbl>
      <w:tblPr>
        <w:tblStyle w:val="TableGrid"/>
        <w:tblW w:w="0" w:type="auto"/>
        <w:tblLook w:val="04A0" w:firstRow="1" w:lastRow="0" w:firstColumn="1" w:lastColumn="0" w:noHBand="0" w:noVBand="1"/>
      </w:tblPr>
      <w:tblGrid>
        <w:gridCol w:w="790"/>
        <w:gridCol w:w="3677"/>
        <w:gridCol w:w="2276"/>
        <w:gridCol w:w="2273"/>
      </w:tblGrid>
      <w:tr w:rsidR="00966323" w14:paraId="44F9C299" w14:textId="77777777">
        <w:tc>
          <w:tcPr>
            <w:tcW w:w="801" w:type="dxa"/>
          </w:tcPr>
          <w:p w14:paraId="66DD8A01"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NO.</w:t>
            </w:r>
          </w:p>
        </w:tc>
        <w:tc>
          <w:tcPr>
            <w:tcW w:w="3819" w:type="dxa"/>
          </w:tcPr>
          <w:p w14:paraId="5C042C8B"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Alternatives</w:t>
            </w:r>
          </w:p>
        </w:tc>
        <w:tc>
          <w:tcPr>
            <w:tcW w:w="2311" w:type="dxa"/>
          </w:tcPr>
          <w:p w14:paraId="272DA4B8"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Pros</w:t>
            </w:r>
          </w:p>
        </w:tc>
        <w:tc>
          <w:tcPr>
            <w:tcW w:w="2311" w:type="dxa"/>
          </w:tcPr>
          <w:p w14:paraId="1D14E09E"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w:t>
            </w:r>
          </w:p>
        </w:tc>
      </w:tr>
      <w:tr w:rsidR="00966323" w14:paraId="1BA8073B" w14:textId="77777777">
        <w:tc>
          <w:tcPr>
            <w:tcW w:w="801" w:type="dxa"/>
          </w:tcPr>
          <w:p w14:paraId="3CAB4013"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1</w:t>
            </w:r>
          </w:p>
        </w:tc>
        <w:tc>
          <w:tcPr>
            <w:tcW w:w="3819" w:type="dxa"/>
          </w:tcPr>
          <w:p w14:paraId="10C5E03D"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HARQ process ID is determined by the first UL symbol of the CG occasion (R16 URLLC similar approach)</w:t>
            </w:r>
          </w:p>
        </w:tc>
        <w:tc>
          <w:tcPr>
            <w:tcW w:w="2311" w:type="dxa"/>
          </w:tcPr>
          <w:p w14:paraId="123834A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Low complexity in both standardization and implementation.</w:t>
            </w:r>
          </w:p>
        </w:tc>
        <w:tc>
          <w:tcPr>
            <w:tcW w:w="2311" w:type="dxa"/>
          </w:tcPr>
          <w:p w14:paraId="11483F10"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UE autonomous retransmission can only be performed on the SSB associated to the same CG occasion.</w:t>
            </w:r>
          </w:p>
        </w:tc>
      </w:tr>
      <w:tr w:rsidR="00966323" w14:paraId="187E6207" w14:textId="77777777">
        <w:tc>
          <w:tcPr>
            <w:tcW w:w="801" w:type="dxa"/>
          </w:tcPr>
          <w:p w14:paraId="182A21AD"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2</w:t>
            </w:r>
          </w:p>
        </w:tc>
        <w:tc>
          <w:tcPr>
            <w:tcW w:w="3819" w:type="dxa"/>
          </w:tcPr>
          <w:p w14:paraId="235AA90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HARQ process ID is indicated by UCI (R16 NR-U similar approach)</w:t>
            </w:r>
          </w:p>
        </w:tc>
        <w:tc>
          <w:tcPr>
            <w:tcW w:w="2311" w:type="dxa"/>
          </w:tcPr>
          <w:p w14:paraId="6812B6A6"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Low complexity in standardization (i.e. NR-U based approach is reused).</w:t>
            </w:r>
          </w:p>
          <w:p w14:paraId="30F5E0FD"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Retransmission can be performed on any CG occasions with qualified SSB.</w:t>
            </w:r>
          </w:p>
        </w:tc>
        <w:tc>
          <w:tcPr>
            <w:tcW w:w="2311" w:type="dxa"/>
          </w:tcPr>
          <w:p w14:paraId="63C505DA"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UE need to support the NR-U based mechanism for UE autonomous retransmission.</w:t>
            </w:r>
          </w:p>
        </w:tc>
      </w:tr>
      <w:tr w:rsidR="00966323" w14:paraId="01B5D7D7" w14:textId="77777777">
        <w:tc>
          <w:tcPr>
            <w:tcW w:w="801" w:type="dxa"/>
          </w:tcPr>
          <w:p w14:paraId="43835440"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3</w:t>
            </w:r>
          </w:p>
        </w:tc>
        <w:tc>
          <w:tcPr>
            <w:tcW w:w="3819" w:type="dxa"/>
          </w:tcPr>
          <w:p w14:paraId="2043ED73"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All the CG occasion within the same SSB-PUSCH association period will be mapped to the same HARQ process ID, and the HARQ process ID will be determined based on the first UL symbol of the first UL CG occasion within the SSB-PUSCH association period</w:t>
            </w:r>
          </w:p>
        </w:tc>
        <w:tc>
          <w:tcPr>
            <w:tcW w:w="2311" w:type="dxa"/>
          </w:tcPr>
          <w:p w14:paraId="68F91237"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Retransmission can be performed on any SSB with CG resource.</w:t>
            </w:r>
          </w:p>
        </w:tc>
        <w:tc>
          <w:tcPr>
            <w:tcW w:w="2311" w:type="dxa"/>
          </w:tcPr>
          <w:p w14:paraId="363CC616"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New mechanism need to be specified for SDT.</w:t>
            </w:r>
          </w:p>
          <w:p w14:paraId="5488085E"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Only one CG occasion within one SSB-PUSCH association period can be used for new CG transmission. The resource efficiency is low.</w:t>
            </w:r>
          </w:p>
        </w:tc>
      </w:tr>
    </w:tbl>
    <w:p w14:paraId="382616D7" w14:textId="77777777" w:rsidR="00966323" w:rsidRDefault="00966323"/>
    <w:p w14:paraId="284717BE" w14:textId="77777777" w:rsidR="00966323" w:rsidRDefault="006E3C83">
      <w:pPr>
        <w:rPr>
          <w:rFonts w:cs="Arial"/>
          <w:szCs w:val="36"/>
          <w:u w:val="single"/>
          <w:lang w:val="en-US" w:eastAsia="zh-CN"/>
        </w:rPr>
      </w:pPr>
      <w:r>
        <w:rPr>
          <w:rFonts w:cs="Arial" w:hint="eastAsia"/>
          <w:szCs w:val="36"/>
          <w:u w:val="single"/>
          <w:lang w:val="en-US" w:eastAsia="zh-CN"/>
        </w:rPr>
        <w:lastRenderedPageBreak/>
        <w:t>Fallback from CG-SDT to RA-SDT</w:t>
      </w:r>
    </w:p>
    <w:p w14:paraId="1ED222F2"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5: Clarify the definition RA-SDT, CG-SDT and fallback operation from CG-SDT to RA-SDT as follow</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w:t>
      </w:r>
    </w:p>
    <w:p w14:paraId="7E9351E9" w14:textId="77777777" w:rsidR="00CE7DE5" w:rsidRDefault="00CE7DE5" w:rsidP="00CE7DE5">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RA-SDT: The initial UL CCCH message for SDT is transmitted in RACH procedure through either Msg3 or MsgA.</w:t>
      </w:r>
    </w:p>
    <w:p w14:paraId="74BA5A18" w14:textId="77777777" w:rsidR="00CE7DE5" w:rsidRDefault="00CE7DE5" w:rsidP="00CE7DE5">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CG-SDT: The initial UL CCCH message for SDT is transmitted through CG resource. </w:t>
      </w:r>
    </w:p>
    <w:p w14:paraId="2C1F2DB3" w14:textId="77777777" w:rsidR="00CE7DE5" w:rsidRDefault="00CE7DE5" w:rsidP="00CE7DE5">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Fallback from CG-SDT to RA-SDT: The initial UL CCCH message is first transmitted through CG resource. However, due to the transmission failure through CG resource, the UE fallback to RACH procedure and re-transmit the initial UL CCCH message through either Msg3 (i.e. 4-step RACH) or MsgA (i.e. 2-step RACH) during RACH procedure.</w:t>
      </w:r>
    </w:p>
    <w:p w14:paraId="2844E1CB"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Observation 1: The following cases shall not be considered as fallback from CG-SDT to RA-SDT</w:t>
      </w:r>
    </w:p>
    <w:p w14:paraId="7596FCBD" w14:textId="77777777" w:rsidR="00CE7DE5" w:rsidRDefault="00CE7DE5" w:rsidP="00CE7DE5">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RA-SDT is selected in the SDT type selection due to the lack of qualified SSB associated with CG-SDT resource, in which case the initial UL CCCH message will be transmitted through Msg3/MsgA directly (i.e. there is no fallback).</w:t>
      </w:r>
    </w:p>
    <w:p w14:paraId="3C6AD041" w14:textId="77777777" w:rsidR="00CE7DE5" w:rsidRDefault="00CE7DE5" w:rsidP="00CE7DE5">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RACH procedure is triggered in the subsequent data transmission for CG-SDT, in which case the UL CCCH message has already been transmitted successfully through CG-SDT.</w:t>
      </w:r>
    </w:p>
    <w:p w14:paraId="68C40F2C"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Observation 2: For the fallback from CG-SDT to RA-SDT, more discuss</w:t>
      </w:r>
      <w:r>
        <w:rPr>
          <w:rFonts w:ascii="CG Times (WN)" w:eastAsia="Times New Roman" w:hAnsi="CG Times (WN)"/>
          <w:i/>
          <w:iCs/>
          <w:kern w:val="0"/>
          <w:szCs w:val="22"/>
          <w:lang w:val="en-US" w:eastAsia="zh-CN"/>
        </w:rPr>
        <w:t>ion</w:t>
      </w:r>
      <w:r>
        <w:rPr>
          <w:rFonts w:ascii="CG Times (WN)" w:eastAsia="Times New Roman" w:hAnsi="CG Times (WN)" w:hint="eastAsia"/>
          <w:i/>
          <w:iCs/>
          <w:kern w:val="0"/>
          <w:szCs w:val="22"/>
          <w:lang w:val="en-US" w:eastAsia="zh-CN"/>
        </w:rPr>
        <w:t xml:space="preserve"> is required for the following issues:</w:t>
      </w:r>
    </w:p>
    <w:p w14:paraId="448708B7" w14:textId="77777777" w:rsidR="00CE7DE5" w:rsidRDefault="00CE7DE5" w:rsidP="00CE7DE5">
      <w:pPr>
        <w:widowControl/>
        <w:numPr>
          <w:ilvl w:val="0"/>
          <w:numId w:val="16"/>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Which BWP will be used for the fallback RA-SDT, dedicated SDT-BWP or initial BWP?</w:t>
      </w:r>
    </w:p>
    <w:p w14:paraId="0B662661" w14:textId="77777777" w:rsidR="00CE7DE5" w:rsidRDefault="00CE7DE5" w:rsidP="00CE7DE5">
      <w:pPr>
        <w:widowControl/>
        <w:numPr>
          <w:ilvl w:val="0"/>
          <w:numId w:val="16"/>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Whether RRC will be involved in the fallback operation (e.g. configure the default MAC configuration to MAC)?</w:t>
      </w:r>
    </w:p>
    <w:p w14:paraId="68DB1F2B" w14:textId="77777777" w:rsidR="00CE7DE5" w:rsidRDefault="00CE7DE5" w:rsidP="00CE7DE5">
      <w:pPr>
        <w:widowControl/>
        <w:numPr>
          <w:ilvl w:val="0"/>
          <w:numId w:val="16"/>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Whether the CG-SDT resource shall be released?</w:t>
      </w:r>
    </w:p>
    <w:p w14:paraId="1C0FEDCC"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 xml:space="preserve">Observation 3: The UE autonomous retransmission can be performed to re-transmit the CCCH message through CG resource. And T319 similar timer can be used to terminate the CG SDT in case the UE autonomous retransmission can not work (e.g. no qualified SSB can be found in a period of time). </w:t>
      </w:r>
    </w:p>
    <w:p w14:paraId="2A22634F" w14:textId="77777777" w:rsidR="00966323" w:rsidRDefault="006E3C83">
      <w:pPr>
        <w:overflowPunct w:val="0"/>
        <w:autoSpaceDE w:val="0"/>
        <w:autoSpaceDN w:val="0"/>
        <w:adjustRightInd w:val="0"/>
        <w:spacing w:after="180" w:line="240" w:lineRule="auto"/>
        <w:textAlignment w:val="baseline"/>
        <w:rPr>
          <w:rFonts w:ascii="CG Times (WN)" w:eastAsia="Times New Roman" w:hAnsi="CG Times (WN)"/>
          <w:b/>
          <w:bCs/>
          <w:szCs w:val="22"/>
          <w:lang w:val="en-US" w:eastAsia="zh-CN"/>
        </w:rPr>
      </w:pPr>
      <w:r>
        <w:rPr>
          <w:rFonts w:ascii="CG Times (WN)" w:eastAsia="Times New Roman" w:hAnsi="CG Times (WN)" w:hint="eastAsia"/>
          <w:b/>
          <w:bCs/>
          <w:kern w:val="0"/>
          <w:szCs w:val="22"/>
          <w:lang w:val="en-US" w:eastAsia="zh-CN"/>
        </w:rPr>
        <w:t>Proposal 6: Fallback from CG-SDT to RA-SDT is not supported in Rel-17.</w:t>
      </w:r>
    </w:p>
    <w:p w14:paraId="6DE39DC2" w14:textId="77777777" w:rsidR="00966323" w:rsidRDefault="006E3C83">
      <w:pPr>
        <w:rPr>
          <w:rFonts w:cs="Arial"/>
          <w:szCs w:val="36"/>
          <w:u w:val="single"/>
          <w:lang w:val="en-US" w:eastAsia="zh-CN"/>
        </w:rPr>
      </w:pPr>
      <w:r>
        <w:rPr>
          <w:rFonts w:cs="Arial" w:hint="eastAsia"/>
          <w:szCs w:val="36"/>
          <w:u w:val="single"/>
          <w:lang w:val="en-US" w:eastAsia="zh-CN"/>
        </w:rPr>
        <w:t>Other</w:t>
      </w:r>
    </w:p>
    <w:p w14:paraId="5028014E" w14:textId="77777777" w:rsidR="00966323" w:rsidRDefault="006E3C83">
      <w:pPr>
        <w:widowControl/>
        <w:overflowPunct w:val="0"/>
        <w:autoSpaceDE w:val="0"/>
        <w:autoSpaceDN w:val="0"/>
        <w:adjustRightInd w:val="0"/>
        <w:spacing w:after="180" w:line="240" w:lineRule="auto"/>
        <w:jc w:val="left"/>
        <w:textAlignment w:val="baseline"/>
      </w:pPr>
      <w:r>
        <w:rPr>
          <w:rFonts w:ascii="CG Times (WN)" w:eastAsia="Times New Roman" w:hAnsi="CG Times (WN)" w:hint="eastAsia"/>
          <w:b/>
          <w:bCs/>
          <w:kern w:val="0"/>
          <w:szCs w:val="22"/>
          <w:lang w:val="en-US" w:eastAsia="zh-CN"/>
        </w:rPr>
        <w:t>Proposal 7：If the CS-RNTI is configured before UE is released to INACTIVE, then it should be reused. Otherwise, a new CS-RNTI can be configured in RRC release message.</w:t>
      </w:r>
    </w:p>
    <w:p w14:paraId="29C6E17B" w14:textId="77777777" w:rsidR="00966323" w:rsidRDefault="006E3C8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4543"/>
      <w:bookmarkStart w:id="5" w:name="_Toc18413612"/>
      <w:bookmarkStart w:id="6" w:name="_Toc18403976"/>
      <w:r>
        <w:rPr>
          <w:rFonts w:cs="Arial"/>
          <w:b w:val="0"/>
          <w:bCs w:val="0"/>
          <w:kern w:val="0"/>
          <w:sz w:val="32"/>
          <w:szCs w:val="36"/>
        </w:rPr>
        <w:lastRenderedPageBreak/>
        <w:t>References</w:t>
      </w:r>
      <w:bookmarkEnd w:id="4"/>
      <w:bookmarkEnd w:id="5"/>
      <w:bookmarkEnd w:id="6"/>
    </w:p>
    <w:p w14:paraId="4DC504D9" w14:textId="77777777" w:rsidR="00966323" w:rsidRDefault="00966323">
      <w:pPr>
        <w:pStyle w:val="NormalWeb"/>
        <w:numPr>
          <w:ilvl w:val="0"/>
          <w:numId w:val="17"/>
        </w:numPr>
        <w:spacing w:before="75" w:beforeAutospacing="0" w:after="75" w:afterAutospacing="0" w:line="315" w:lineRule="atLeast"/>
        <w:rPr>
          <w:rFonts w:cs="Arial"/>
          <w:color w:val="000000"/>
          <w:sz w:val="21"/>
          <w:lang w:val="en-US" w:eastAsia="zh-CN"/>
        </w:rPr>
      </w:pPr>
    </w:p>
    <w:sectPr w:rsidR="00966323">
      <w:headerReference w:type="even" r:id="rId11"/>
      <w:headerReference w:type="default" r:id="rId12"/>
      <w:footerReference w:type="even" r:id="rId13"/>
      <w:footerReference w:type="default" r:id="rId14"/>
      <w:headerReference w:type="first" r:id="rId15"/>
      <w:footerReference w:type="first" r:id="rId16"/>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97C91" w14:textId="77777777" w:rsidR="0072081F" w:rsidRDefault="0072081F">
      <w:pPr>
        <w:spacing w:after="0" w:line="240" w:lineRule="auto"/>
      </w:pPr>
      <w:r>
        <w:separator/>
      </w:r>
    </w:p>
  </w:endnote>
  <w:endnote w:type="continuationSeparator" w:id="0">
    <w:p w14:paraId="3CE3021B" w14:textId="77777777" w:rsidR="0072081F" w:rsidRDefault="00720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E9DF" w14:textId="77777777" w:rsidR="00966323" w:rsidRDefault="006E3C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CFC54A" w14:textId="77777777" w:rsidR="00966323" w:rsidRDefault="009663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4065" w14:textId="77777777" w:rsidR="00966323" w:rsidRDefault="00966323">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DC401" w14:textId="77777777" w:rsidR="00061312" w:rsidRDefault="000613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DEF6D" w14:textId="77777777" w:rsidR="0072081F" w:rsidRDefault="0072081F">
      <w:pPr>
        <w:spacing w:after="0" w:line="240" w:lineRule="auto"/>
      </w:pPr>
      <w:r>
        <w:separator/>
      </w:r>
    </w:p>
  </w:footnote>
  <w:footnote w:type="continuationSeparator" w:id="0">
    <w:p w14:paraId="6AF145D1" w14:textId="77777777" w:rsidR="0072081F" w:rsidRDefault="007208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9FB1" w14:textId="77777777" w:rsidR="00061312" w:rsidRDefault="000613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EACE" w14:textId="77777777" w:rsidR="00966323" w:rsidRDefault="00966323">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C7269" w14:textId="77777777" w:rsidR="00061312" w:rsidRDefault="00061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F842A7"/>
    <w:multiLevelType w:val="multilevel"/>
    <w:tmpl w:val="81F842A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E2F3A9C"/>
    <w:multiLevelType w:val="singleLevel"/>
    <w:tmpl w:val="DE2F3A9C"/>
    <w:lvl w:ilvl="0">
      <w:start w:val="1"/>
      <w:numFmt w:val="bullet"/>
      <w:lvlText w:val=""/>
      <w:lvlJc w:val="left"/>
      <w:pPr>
        <w:ind w:left="420" w:hanging="420"/>
      </w:pPr>
      <w:rPr>
        <w:rFonts w:ascii="Wingdings" w:hAnsi="Wingdings" w:hint="default"/>
      </w:rPr>
    </w:lvl>
  </w:abstractNum>
  <w:abstractNum w:abstractNumId="2" w15:restartNumberingAfterBreak="0">
    <w:nsid w:val="E382D62A"/>
    <w:multiLevelType w:val="multilevel"/>
    <w:tmpl w:val="E382D62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2037934"/>
    <w:multiLevelType w:val="multilevel"/>
    <w:tmpl w:val="F20379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5951C03"/>
    <w:multiLevelType w:val="multilevel"/>
    <w:tmpl w:val="15951C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7735463"/>
    <w:multiLevelType w:val="multilevel"/>
    <w:tmpl w:val="1773546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1DC7981"/>
    <w:multiLevelType w:val="multilevel"/>
    <w:tmpl w:val="31DC79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AC74B5E"/>
    <w:multiLevelType w:val="multilevel"/>
    <w:tmpl w:val="5AC74B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2F7778B"/>
    <w:multiLevelType w:val="singleLevel"/>
    <w:tmpl w:val="62F7778B"/>
    <w:lvl w:ilvl="0">
      <w:start w:val="1"/>
      <w:numFmt w:val="bullet"/>
      <w:lvlText w:val=""/>
      <w:lvlJc w:val="left"/>
      <w:pPr>
        <w:ind w:left="420" w:hanging="42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6CF722F"/>
    <w:multiLevelType w:val="multilevel"/>
    <w:tmpl w:val="66CF72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11"/>
  </w:num>
  <w:num w:numId="3">
    <w:abstractNumId w:val="8"/>
  </w:num>
  <w:num w:numId="4">
    <w:abstractNumId w:val="9"/>
  </w:num>
  <w:num w:numId="5">
    <w:abstractNumId w:val="5"/>
  </w:num>
  <w:num w:numId="6">
    <w:abstractNumId w:val="14"/>
  </w:num>
  <w:num w:numId="7">
    <w:abstractNumId w:val="3"/>
  </w:num>
  <w:num w:numId="8">
    <w:abstractNumId w:val="10"/>
  </w:num>
  <w:num w:numId="9">
    <w:abstractNumId w:val="12"/>
  </w:num>
  <w:num w:numId="10">
    <w:abstractNumId w:val="15"/>
  </w:num>
  <w:num w:numId="11">
    <w:abstractNumId w:val="7"/>
  </w:num>
  <w:num w:numId="12">
    <w:abstractNumId w:val="6"/>
  </w:num>
  <w:num w:numId="13">
    <w:abstractNumId w:val="2"/>
  </w:num>
  <w:num w:numId="14">
    <w:abstractNumId w:val="13"/>
  </w:num>
  <w:num w:numId="15">
    <w:abstractNumId w:val="0"/>
  </w:num>
  <w:num w:numId="16">
    <w:abstractNumId w:val="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3CC5"/>
    <w:rsid w:val="000248FC"/>
    <w:rsid w:val="00024E29"/>
    <w:rsid w:val="0002660A"/>
    <w:rsid w:val="00026899"/>
    <w:rsid w:val="0002698B"/>
    <w:rsid w:val="00027EEC"/>
    <w:rsid w:val="00030321"/>
    <w:rsid w:val="000340F8"/>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1312"/>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355"/>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3BA4"/>
    <w:rsid w:val="000B4B76"/>
    <w:rsid w:val="000B6418"/>
    <w:rsid w:val="000B65CB"/>
    <w:rsid w:val="000B780E"/>
    <w:rsid w:val="000C236D"/>
    <w:rsid w:val="000C2690"/>
    <w:rsid w:val="000C28C6"/>
    <w:rsid w:val="000C364E"/>
    <w:rsid w:val="000C3BD2"/>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0F6AA4"/>
    <w:rsid w:val="00100030"/>
    <w:rsid w:val="00101A67"/>
    <w:rsid w:val="00103CB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52265"/>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4D2"/>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4C19"/>
    <w:rsid w:val="00206380"/>
    <w:rsid w:val="002155FA"/>
    <w:rsid w:val="00216E24"/>
    <w:rsid w:val="002176DE"/>
    <w:rsid w:val="002177BC"/>
    <w:rsid w:val="00217C8F"/>
    <w:rsid w:val="002209F4"/>
    <w:rsid w:val="00223B64"/>
    <w:rsid w:val="00224BF7"/>
    <w:rsid w:val="0023029F"/>
    <w:rsid w:val="00231281"/>
    <w:rsid w:val="00231DC2"/>
    <w:rsid w:val="002333B7"/>
    <w:rsid w:val="002344F2"/>
    <w:rsid w:val="002368E4"/>
    <w:rsid w:val="00241832"/>
    <w:rsid w:val="00242449"/>
    <w:rsid w:val="00243D7B"/>
    <w:rsid w:val="002443A0"/>
    <w:rsid w:val="00244D42"/>
    <w:rsid w:val="00246FFA"/>
    <w:rsid w:val="00247076"/>
    <w:rsid w:val="00252B94"/>
    <w:rsid w:val="00255267"/>
    <w:rsid w:val="00255974"/>
    <w:rsid w:val="00255E19"/>
    <w:rsid w:val="00256C2E"/>
    <w:rsid w:val="00257233"/>
    <w:rsid w:val="00260716"/>
    <w:rsid w:val="0026193E"/>
    <w:rsid w:val="00261A9C"/>
    <w:rsid w:val="00261E11"/>
    <w:rsid w:val="00262518"/>
    <w:rsid w:val="00263A3D"/>
    <w:rsid w:val="00264137"/>
    <w:rsid w:val="00264908"/>
    <w:rsid w:val="00266E8F"/>
    <w:rsid w:val="002672FA"/>
    <w:rsid w:val="00270A1C"/>
    <w:rsid w:val="00271ED8"/>
    <w:rsid w:val="002730ED"/>
    <w:rsid w:val="00281718"/>
    <w:rsid w:val="002855D0"/>
    <w:rsid w:val="002901F1"/>
    <w:rsid w:val="00290E18"/>
    <w:rsid w:val="002910B9"/>
    <w:rsid w:val="00291D54"/>
    <w:rsid w:val="00293A6E"/>
    <w:rsid w:val="00294286"/>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04B6"/>
    <w:rsid w:val="002E28F9"/>
    <w:rsid w:val="002E43F3"/>
    <w:rsid w:val="002E4EF3"/>
    <w:rsid w:val="002E5737"/>
    <w:rsid w:val="002E7525"/>
    <w:rsid w:val="002F01CA"/>
    <w:rsid w:val="002F03EC"/>
    <w:rsid w:val="002F1163"/>
    <w:rsid w:val="002F2924"/>
    <w:rsid w:val="002F3161"/>
    <w:rsid w:val="002F5517"/>
    <w:rsid w:val="00300177"/>
    <w:rsid w:val="00300EE0"/>
    <w:rsid w:val="003031CE"/>
    <w:rsid w:val="00305358"/>
    <w:rsid w:val="0030650B"/>
    <w:rsid w:val="003110B2"/>
    <w:rsid w:val="00312C1A"/>
    <w:rsid w:val="00312DD1"/>
    <w:rsid w:val="00313308"/>
    <w:rsid w:val="003144CA"/>
    <w:rsid w:val="00315838"/>
    <w:rsid w:val="00315FDE"/>
    <w:rsid w:val="003171FD"/>
    <w:rsid w:val="00321077"/>
    <w:rsid w:val="003213D2"/>
    <w:rsid w:val="00322A09"/>
    <w:rsid w:val="00322E01"/>
    <w:rsid w:val="00322EDB"/>
    <w:rsid w:val="0032502D"/>
    <w:rsid w:val="003268BB"/>
    <w:rsid w:val="0033001C"/>
    <w:rsid w:val="00330072"/>
    <w:rsid w:val="00330B4E"/>
    <w:rsid w:val="0033176D"/>
    <w:rsid w:val="0033259B"/>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49B"/>
    <w:rsid w:val="003546A6"/>
    <w:rsid w:val="00354915"/>
    <w:rsid w:val="00354E6F"/>
    <w:rsid w:val="0035540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0E9"/>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3B7E"/>
    <w:rsid w:val="003D42C7"/>
    <w:rsid w:val="003D4338"/>
    <w:rsid w:val="003D4CAE"/>
    <w:rsid w:val="003D62B1"/>
    <w:rsid w:val="003D7765"/>
    <w:rsid w:val="003E1518"/>
    <w:rsid w:val="003E2FC9"/>
    <w:rsid w:val="003E42F6"/>
    <w:rsid w:val="003E48E7"/>
    <w:rsid w:val="003E6173"/>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3A0E"/>
    <w:rsid w:val="00406593"/>
    <w:rsid w:val="004069AC"/>
    <w:rsid w:val="004069B2"/>
    <w:rsid w:val="0040782D"/>
    <w:rsid w:val="00410408"/>
    <w:rsid w:val="00411FDA"/>
    <w:rsid w:val="00413229"/>
    <w:rsid w:val="00413912"/>
    <w:rsid w:val="00413D6F"/>
    <w:rsid w:val="004146A6"/>
    <w:rsid w:val="004150C6"/>
    <w:rsid w:val="00417F40"/>
    <w:rsid w:val="004228A3"/>
    <w:rsid w:val="004229AC"/>
    <w:rsid w:val="00423D3B"/>
    <w:rsid w:val="004245A3"/>
    <w:rsid w:val="00424A48"/>
    <w:rsid w:val="004274EC"/>
    <w:rsid w:val="00427917"/>
    <w:rsid w:val="00430542"/>
    <w:rsid w:val="0043180A"/>
    <w:rsid w:val="00433364"/>
    <w:rsid w:val="004342E4"/>
    <w:rsid w:val="00436238"/>
    <w:rsid w:val="00440472"/>
    <w:rsid w:val="00441EB5"/>
    <w:rsid w:val="004423E2"/>
    <w:rsid w:val="00442CB8"/>
    <w:rsid w:val="0044341B"/>
    <w:rsid w:val="0044363A"/>
    <w:rsid w:val="00443D84"/>
    <w:rsid w:val="00444647"/>
    <w:rsid w:val="00444F7D"/>
    <w:rsid w:val="00445007"/>
    <w:rsid w:val="00446A9B"/>
    <w:rsid w:val="004508D9"/>
    <w:rsid w:val="00453750"/>
    <w:rsid w:val="00453A7F"/>
    <w:rsid w:val="00454BF1"/>
    <w:rsid w:val="00455AC3"/>
    <w:rsid w:val="0045637C"/>
    <w:rsid w:val="00456668"/>
    <w:rsid w:val="00457C38"/>
    <w:rsid w:val="0046088D"/>
    <w:rsid w:val="00460FF4"/>
    <w:rsid w:val="00461175"/>
    <w:rsid w:val="00462F02"/>
    <w:rsid w:val="004647D3"/>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87B22"/>
    <w:rsid w:val="00490BB5"/>
    <w:rsid w:val="0049176F"/>
    <w:rsid w:val="00492EA5"/>
    <w:rsid w:val="00493247"/>
    <w:rsid w:val="00494954"/>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3D37"/>
    <w:rsid w:val="004B40E5"/>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59C"/>
    <w:rsid w:val="004E1EBD"/>
    <w:rsid w:val="004E2E56"/>
    <w:rsid w:val="004E3A45"/>
    <w:rsid w:val="004E3B7D"/>
    <w:rsid w:val="004E3E3E"/>
    <w:rsid w:val="004E4863"/>
    <w:rsid w:val="004E5219"/>
    <w:rsid w:val="004E5753"/>
    <w:rsid w:val="004E5BB4"/>
    <w:rsid w:val="004F10CA"/>
    <w:rsid w:val="004F4675"/>
    <w:rsid w:val="004F4818"/>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4C66"/>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1548"/>
    <w:rsid w:val="00553234"/>
    <w:rsid w:val="00553A61"/>
    <w:rsid w:val="0055402E"/>
    <w:rsid w:val="0055689F"/>
    <w:rsid w:val="005604D2"/>
    <w:rsid w:val="00560AD9"/>
    <w:rsid w:val="00561349"/>
    <w:rsid w:val="00561663"/>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05CB"/>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B4D"/>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1FC"/>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ABE"/>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65237"/>
    <w:rsid w:val="00670351"/>
    <w:rsid w:val="006706AA"/>
    <w:rsid w:val="006718B7"/>
    <w:rsid w:val="00672B24"/>
    <w:rsid w:val="00673154"/>
    <w:rsid w:val="006746B2"/>
    <w:rsid w:val="0067540D"/>
    <w:rsid w:val="006756AD"/>
    <w:rsid w:val="00682047"/>
    <w:rsid w:val="0068365D"/>
    <w:rsid w:val="0068430C"/>
    <w:rsid w:val="00685237"/>
    <w:rsid w:val="006852A4"/>
    <w:rsid w:val="00690BB8"/>
    <w:rsid w:val="0069144C"/>
    <w:rsid w:val="0069161A"/>
    <w:rsid w:val="0069189C"/>
    <w:rsid w:val="00691D2A"/>
    <w:rsid w:val="00691E28"/>
    <w:rsid w:val="00692885"/>
    <w:rsid w:val="006938A5"/>
    <w:rsid w:val="006954BD"/>
    <w:rsid w:val="00696644"/>
    <w:rsid w:val="006968FD"/>
    <w:rsid w:val="006978B2"/>
    <w:rsid w:val="00697DD7"/>
    <w:rsid w:val="006A008F"/>
    <w:rsid w:val="006A069D"/>
    <w:rsid w:val="006A1FC4"/>
    <w:rsid w:val="006A422F"/>
    <w:rsid w:val="006A451F"/>
    <w:rsid w:val="006A5402"/>
    <w:rsid w:val="006A5B82"/>
    <w:rsid w:val="006A67C2"/>
    <w:rsid w:val="006A6A31"/>
    <w:rsid w:val="006B0BCD"/>
    <w:rsid w:val="006B0C35"/>
    <w:rsid w:val="006B0CBE"/>
    <w:rsid w:val="006B1340"/>
    <w:rsid w:val="006B181E"/>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3C8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081F"/>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142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298"/>
    <w:rsid w:val="00771468"/>
    <w:rsid w:val="007719AC"/>
    <w:rsid w:val="00773686"/>
    <w:rsid w:val="00773C7C"/>
    <w:rsid w:val="00774EC5"/>
    <w:rsid w:val="00776AB7"/>
    <w:rsid w:val="00776AD0"/>
    <w:rsid w:val="00780871"/>
    <w:rsid w:val="007828E0"/>
    <w:rsid w:val="00787A57"/>
    <w:rsid w:val="00787B7D"/>
    <w:rsid w:val="00792D48"/>
    <w:rsid w:val="00793203"/>
    <w:rsid w:val="00793E97"/>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C732A"/>
    <w:rsid w:val="007D0036"/>
    <w:rsid w:val="007D11B8"/>
    <w:rsid w:val="007D1638"/>
    <w:rsid w:val="007D1F28"/>
    <w:rsid w:val="007D1FA3"/>
    <w:rsid w:val="007D2587"/>
    <w:rsid w:val="007D36F2"/>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1D56"/>
    <w:rsid w:val="00835356"/>
    <w:rsid w:val="00836D5A"/>
    <w:rsid w:val="0083795A"/>
    <w:rsid w:val="00837C9F"/>
    <w:rsid w:val="0084072A"/>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4C54"/>
    <w:rsid w:val="008757FA"/>
    <w:rsid w:val="00875A8A"/>
    <w:rsid w:val="008768D2"/>
    <w:rsid w:val="00876B45"/>
    <w:rsid w:val="00880F6C"/>
    <w:rsid w:val="0088223F"/>
    <w:rsid w:val="00884DAD"/>
    <w:rsid w:val="008850B6"/>
    <w:rsid w:val="008855E2"/>
    <w:rsid w:val="00885E69"/>
    <w:rsid w:val="00886521"/>
    <w:rsid w:val="00887F76"/>
    <w:rsid w:val="00891079"/>
    <w:rsid w:val="00891E8C"/>
    <w:rsid w:val="008937A3"/>
    <w:rsid w:val="008941B0"/>
    <w:rsid w:val="0089509A"/>
    <w:rsid w:val="008A4FE1"/>
    <w:rsid w:val="008A5E28"/>
    <w:rsid w:val="008B302A"/>
    <w:rsid w:val="008B375B"/>
    <w:rsid w:val="008B4198"/>
    <w:rsid w:val="008B4609"/>
    <w:rsid w:val="008B61D8"/>
    <w:rsid w:val="008B725C"/>
    <w:rsid w:val="008C1A6B"/>
    <w:rsid w:val="008C1D6D"/>
    <w:rsid w:val="008C2FCE"/>
    <w:rsid w:val="008C3F98"/>
    <w:rsid w:val="008C594A"/>
    <w:rsid w:val="008D1DAC"/>
    <w:rsid w:val="008D23AF"/>
    <w:rsid w:val="008D3A05"/>
    <w:rsid w:val="008D3AF1"/>
    <w:rsid w:val="008D3E0C"/>
    <w:rsid w:val="008D4A09"/>
    <w:rsid w:val="008D4DA1"/>
    <w:rsid w:val="008D681A"/>
    <w:rsid w:val="008D6B1A"/>
    <w:rsid w:val="008D6D38"/>
    <w:rsid w:val="008E03F0"/>
    <w:rsid w:val="008E0617"/>
    <w:rsid w:val="008E1B8C"/>
    <w:rsid w:val="008E2288"/>
    <w:rsid w:val="008E382D"/>
    <w:rsid w:val="008E41AE"/>
    <w:rsid w:val="008E42F9"/>
    <w:rsid w:val="008E485D"/>
    <w:rsid w:val="008E5B71"/>
    <w:rsid w:val="008E705E"/>
    <w:rsid w:val="008F2453"/>
    <w:rsid w:val="008F34E9"/>
    <w:rsid w:val="008F4F16"/>
    <w:rsid w:val="008F7007"/>
    <w:rsid w:val="008F7C11"/>
    <w:rsid w:val="009018BA"/>
    <w:rsid w:val="009019EB"/>
    <w:rsid w:val="009026D8"/>
    <w:rsid w:val="00902833"/>
    <w:rsid w:val="009039E2"/>
    <w:rsid w:val="009068B3"/>
    <w:rsid w:val="0091077D"/>
    <w:rsid w:val="00910D7E"/>
    <w:rsid w:val="0091196A"/>
    <w:rsid w:val="00911DC9"/>
    <w:rsid w:val="009123FF"/>
    <w:rsid w:val="00914451"/>
    <w:rsid w:val="00916287"/>
    <w:rsid w:val="009164CD"/>
    <w:rsid w:val="00917271"/>
    <w:rsid w:val="0091740C"/>
    <w:rsid w:val="00922A9F"/>
    <w:rsid w:val="00923E90"/>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469B"/>
    <w:rsid w:val="00945FA9"/>
    <w:rsid w:val="0094691D"/>
    <w:rsid w:val="00951051"/>
    <w:rsid w:val="00954F42"/>
    <w:rsid w:val="00955CD6"/>
    <w:rsid w:val="00957172"/>
    <w:rsid w:val="009578D1"/>
    <w:rsid w:val="00957A33"/>
    <w:rsid w:val="0096003B"/>
    <w:rsid w:val="0096081E"/>
    <w:rsid w:val="0096137E"/>
    <w:rsid w:val="00961E92"/>
    <w:rsid w:val="0096459F"/>
    <w:rsid w:val="009647C5"/>
    <w:rsid w:val="00964F5E"/>
    <w:rsid w:val="0096604F"/>
    <w:rsid w:val="00966280"/>
    <w:rsid w:val="00966323"/>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9B1"/>
    <w:rsid w:val="009A1CA8"/>
    <w:rsid w:val="009A3664"/>
    <w:rsid w:val="009A405A"/>
    <w:rsid w:val="009A5082"/>
    <w:rsid w:val="009A618E"/>
    <w:rsid w:val="009B155B"/>
    <w:rsid w:val="009B183F"/>
    <w:rsid w:val="009B1F5B"/>
    <w:rsid w:val="009B3DB8"/>
    <w:rsid w:val="009B4769"/>
    <w:rsid w:val="009B4FF0"/>
    <w:rsid w:val="009C2086"/>
    <w:rsid w:val="009C3006"/>
    <w:rsid w:val="009C3B13"/>
    <w:rsid w:val="009C5F45"/>
    <w:rsid w:val="009D159F"/>
    <w:rsid w:val="009D2A16"/>
    <w:rsid w:val="009D6952"/>
    <w:rsid w:val="009D7F9A"/>
    <w:rsid w:val="009E068F"/>
    <w:rsid w:val="009E1B89"/>
    <w:rsid w:val="009E47DB"/>
    <w:rsid w:val="009E6103"/>
    <w:rsid w:val="009E619C"/>
    <w:rsid w:val="009E7020"/>
    <w:rsid w:val="009E7045"/>
    <w:rsid w:val="009E72A9"/>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16B6A"/>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19F"/>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4FB0"/>
    <w:rsid w:val="00AA6892"/>
    <w:rsid w:val="00AA72CC"/>
    <w:rsid w:val="00AA76B7"/>
    <w:rsid w:val="00AB049C"/>
    <w:rsid w:val="00AB111D"/>
    <w:rsid w:val="00AB1D7B"/>
    <w:rsid w:val="00AB1EA3"/>
    <w:rsid w:val="00AB3399"/>
    <w:rsid w:val="00AB3D67"/>
    <w:rsid w:val="00AB43C3"/>
    <w:rsid w:val="00AB4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4A06"/>
    <w:rsid w:val="00AE5146"/>
    <w:rsid w:val="00AE55C5"/>
    <w:rsid w:val="00AE5A4F"/>
    <w:rsid w:val="00AE7B16"/>
    <w:rsid w:val="00AF0B65"/>
    <w:rsid w:val="00AF109D"/>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4CE"/>
    <w:rsid w:val="00B53EAE"/>
    <w:rsid w:val="00B55CF3"/>
    <w:rsid w:val="00B57187"/>
    <w:rsid w:val="00B57304"/>
    <w:rsid w:val="00B609A8"/>
    <w:rsid w:val="00B62F94"/>
    <w:rsid w:val="00B65BF6"/>
    <w:rsid w:val="00B670CE"/>
    <w:rsid w:val="00B67B79"/>
    <w:rsid w:val="00B67E74"/>
    <w:rsid w:val="00B716F8"/>
    <w:rsid w:val="00B82234"/>
    <w:rsid w:val="00B8283E"/>
    <w:rsid w:val="00B832A6"/>
    <w:rsid w:val="00B837AA"/>
    <w:rsid w:val="00B87B4E"/>
    <w:rsid w:val="00B87D03"/>
    <w:rsid w:val="00B909E8"/>
    <w:rsid w:val="00B916CC"/>
    <w:rsid w:val="00B928EE"/>
    <w:rsid w:val="00B92AD5"/>
    <w:rsid w:val="00B94BA4"/>
    <w:rsid w:val="00B96D07"/>
    <w:rsid w:val="00B97DB5"/>
    <w:rsid w:val="00BA11A4"/>
    <w:rsid w:val="00BA52AE"/>
    <w:rsid w:val="00BA7178"/>
    <w:rsid w:val="00BB1325"/>
    <w:rsid w:val="00BB156E"/>
    <w:rsid w:val="00BB3ABA"/>
    <w:rsid w:val="00BB4FEC"/>
    <w:rsid w:val="00BB65B1"/>
    <w:rsid w:val="00BB69D5"/>
    <w:rsid w:val="00BC03E1"/>
    <w:rsid w:val="00BC1F3F"/>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2F7C"/>
    <w:rsid w:val="00BF3613"/>
    <w:rsid w:val="00BF37B7"/>
    <w:rsid w:val="00BF403E"/>
    <w:rsid w:val="00BF53E9"/>
    <w:rsid w:val="00BF5C82"/>
    <w:rsid w:val="00BF7A5E"/>
    <w:rsid w:val="00C00726"/>
    <w:rsid w:val="00C0085D"/>
    <w:rsid w:val="00C00E47"/>
    <w:rsid w:val="00C010AA"/>
    <w:rsid w:val="00C013EF"/>
    <w:rsid w:val="00C02D2A"/>
    <w:rsid w:val="00C0358E"/>
    <w:rsid w:val="00C051C9"/>
    <w:rsid w:val="00C057BD"/>
    <w:rsid w:val="00C06E4C"/>
    <w:rsid w:val="00C11D21"/>
    <w:rsid w:val="00C11EFC"/>
    <w:rsid w:val="00C1675F"/>
    <w:rsid w:val="00C2052B"/>
    <w:rsid w:val="00C21AFA"/>
    <w:rsid w:val="00C21F2D"/>
    <w:rsid w:val="00C23439"/>
    <w:rsid w:val="00C24E8E"/>
    <w:rsid w:val="00C27213"/>
    <w:rsid w:val="00C278C2"/>
    <w:rsid w:val="00C3083D"/>
    <w:rsid w:val="00C32425"/>
    <w:rsid w:val="00C33DEA"/>
    <w:rsid w:val="00C35152"/>
    <w:rsid w:val="00C353D0"/>
    <w:rsid w:val="00C35AE1"/>
    <w:rsid w:val="00C400F6"/>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190C"/>
    <w:rsid w:val="00C62087"/>
    <w:rsid w:val="00C621A1"/>
    <w:rsid w:val="00C63153"/>
    <w:rsid w:val="00C63CB8"/>
    <w:rsid w:val="00C65327"/>
    <w:rsid w:val="00C67235"/>
    <w:rsid w:val="00C67382"/>
    <w:rsid w:val="00C67DA4"/>
    <w:rsid w:val="00C720C8"/>
    <w:rsid w:val="00C72471"/>
    <w:rsid w:val="00C72B4C"/>
    <w:rsid w:val="00C73AE5"/>
    <w:rsid w:val="00C76180"/>
    <w:rsid w:val="00C76F2B"/>
    <w:rsid w:val="00C8086B"/>
    <w:rsid w:val="00C82D97"/>
    <w:rsid w:val="00C84D14"/>
    <w:rsid w:val="00C85CE4"/>
    <w:rsid w:val="00C91C45"/>
    <w:rsid w:val="00C9369C"/>
    <w:rsid w:val="00C93EDD"/>
    <w:rsid w:val="00C953EF"/>
    <w:rsid w:val="00C953F6"/>
    <w:rsid w:val="00C95895"/>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E79E9"/>
    <w:rsid w:val="00CE7DE5"/>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FA"/>
    <w:rsid w:val="00D25CA2"/>
    <w:rsid w:val="00D26BCB"/>
    <w:rsid w:val="00D26C04"/>
    <w:rsid w:val="00D26CC6"/>
    <w:rsid w:val="00D275C6"/>
    <w:rsid w:val="00D27639"/>
    <w:rsid w:val="00D32D42"/>
    <w:rsid w:val="00D369E4"/>
    <w:rsid w:val="00D36F1F"/>
    <w:rsid w:val="00D41A51"/>
    <w:rsid w:val="00D42DFD"/>
    <w:rsid w:val="00D4448D"/>
    <w:rsid w:val="00D4463C"/>
    <w:rsid w:val="00D45E14"/>
    <w:rsid w:val="00D4755C"/>
    <w:rsid w:val="00D52834"/>
    <w:rsid w:val="00D544FE"/>
    <w:rsid w:val="00D54A8D"/>
    <w:rsid w:val="00D5596F"/>
    <w:rsid w:val="00D55B00"/>
    <w:rsid w:val="00D56F3F"/>
    <w:rsid w:val="00D61F13"/>
    <w:rsid w:val="00D62134"/>
    <w:rsid w:val="00D672D6"/>
    <w:rsid w:val="00D67D4A"/>
    <w:rsid w:val="00D70434"/>
    <w:rsid w:val="00D708A4"/>
    <w:rsid w:val="00D70B9D"/>
    <w:rsid w:val="00D72B46"/>
    <w:rsid w:val="00D73122"/>
    <w:rsid w:val="00D74B66"/>
    <w:rsid w:val="00D75D2E"/>
    <w:rsid w:val="00D77EA3"/>
    <w:rsid w:val="00D806A3"/>
    <w:rsid w:val="00D81ABD"/>
    <w:rsid w:val="00D81BAC"/>
    <w:rsid w:val="00D82EE7"/>
    <w:rsid w:val="00D83149"/>
    <w:rsid w:val="00D83173"/>
    <w:rsid w:val="00D8380A"/>
    <w:rsid w:val="00D84ABB"/>
    <w:rsid w:val="00D85273"/>
    <w:rsid w:val="00D90425"/>
    <w:rsid w:val="00D9099A"/>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D67CC"/>
    <w:rsid w:val="00DE1B4A"/>
    <w:rsid w:val="00DE26EF"/>
    <w:rsid w:val="00DE2CFF"/>
    <w:rsid w:val="00DE3330"/>
    <w:rsid w:val="00DE5939"/>
    <w:rsid w:val="00DE6492"/>
    <w:rsid w:val="00DE7200"/>
    <w:rsid w:val="00DF1378"/>
    <w:rsid w:val="00DF365A"/>
    <w:rsid w:val="00DF4CBC"/>
    <w:rsid w:val="00DF5136"/>
    <w:rsid w:val="00DF5370"/>
    <w:rsid w:val="00DF586E"/>
    <w:rsid w:val="00DF6961"/>
    <w:rsid w:val="00DF7E4D"/>
    <w:rsid w:val="00E0032E"/>
    <w:rsid w:val="00E01653"/>
    <w:rsid w:val="00E0205D"/>
    <w:rsid w:val="00E02290"/>
    <w:rsid w:val="00E0313E"/>
    <w:rsid w:val="00E035A0"/>
    <w:rsid w:val="00E04651"/>
    <w:rsid w:val="00E0491A"/>
    <w:rsid w:val="00E0557E"/>
    <w:rsid w:val="00E1018A"/>
    <w:rsid w:val="00E120F4"/>
    <w:rsid w:val="00E13510"/>
    <w:rsid w:val="00E136D8"/>
    <w:rsid w:val="00E1456D"/>
    <w:rsid w:val="00E153F6"/>
    <w:rsid w:val="00E15F7E"/>
    <w:rsid w:val="00E173DF"/>
    <w:rsid w:val="00E248EB"/>
    <w:rsid w:val="00E2626C"/>
    <w:rsid w:val="00E27FC2"/>
    <w:rsid w:val="00E31912"/>
    <w:rsid w:val="00E31B60"/>
    <w:rsid w:val="00E340FB"/>
    <w:rsid w:val="00E34D88"/>
    <w:rsid w:val="00E353DB"/>
    <w:rsid w:val="00E36375"/>
    <w:rsid w:val="00E37A8B"/>
    <w:rsid w:val="00E40D48"/>
    <w:rsid w:val="00E40DBF"/>
    <w:rsid w:val="00E42C98"/>
    <w:rsid w:val="00E43798"/>
    <w:rsid w:val="00E43842"/>
    <w:rsid w:val="00E4384F"/>
    <w:rsid w:val="00E44765"/>
    <w:rsid w:val="00E468CA"/>
    <w:rsid w:val="00E4765A"/>
    <w:rsid w:val="00E47D3F"/>
    <w:rsid w:val="00E5001F"/>
    <w:rsid w:val="00E505FB"/>
    <w:rsid w:val="00E521EE"/>
    <w:rsid w:val="00E52223"/>
    <w:rsid w:val="00E6166E"/>
    <w:rsid w:val="00E62764"/>
    <w:rsid w:val="00E62B3D"/>
    <w:rsid w:val="00E6315A"/>
    <w:rsid w:val="00E63986"/>
    <w:rsid w:val="00E63D20"/>
    <w:rsid w:val="00E64873"/>
    <w:rsid w:val="00E65E86"/>
    <w:rsid w:val="00E66C3B"/>
    <w:rsid w:val="00E71B00"/>
    <w:rsid w:val="00E724C6"/>
    <w:rsid w:val="00E73C7F"/>
    <w:rsid w:val="00E73D86"/>
    <w:rsid w:val="00E740D9"/>
    <w:rsid w:val="00E76BCA"/>
    <w:rsid w:val="00E77D65"/>
    <w:rsid w:val="00E821B2"/>
    <w:rsid w:val="00E8224F"/>
    <w:rsid w:val="00E84287"/>
    <w:rsid w:val="00E853FB"/>
    <w:rsid w:val="00E85E3C"/>
    <w:rsid w:val="00E902C7"/>
    <w:rsid w:val="00E9138E"/>
    <w:rsid w:val="00E9183D"/>
    <w:rsid w:val="00E91CD5"/>
    <w:rsid w:val="00E943EE"/>
    <w:rsid w:val="00E94456"/>
    <w:rsid w:val="00E94FE2"/>
    <w:rsid w:val="00E95E39"/>
    <w:rsid w:val="00E97B23"/>
    <w:rsid w:val="00E97D22"/>
    <w:rsid w:val="00EA0385"/>
    <w:rsid w:val="00EA3791"/>
    <w:rsid w:val="00EA3FAE"/>
    <w:rsid w:val="00EA4D0C"/>
    <w:rsid w:val="00EA4E53"/>
    <w:rsid w:val="00EA6259"/>
    <w:rsid w:val="00EA63A0"/>
    <w:rsid w:val="00EA7720"/>
    <w:rsid w:val="00EA7F21"/>
    <w:rsid w:val="00EB1559"/>
    <w:rsid w:val="00EB1663"/>
    <w:rsid w:val="00EB2521"/>
    <w:rsid w:val="00EB375A"/>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898"/>
    <w:rsid w:val="00ED7856"/>
    <w:rsid w:val="00ED792B"/>
    <w:rsid w:val="00ED7DC2"/>
    <w:rsid w:val="00EE0CB1"/>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0572"/>
    <w:rsid w:val="00F83547"/>
    <w:rsid w:val="00F83593"/>
    <w:rsid w:val="00F837F7"/>
    <w:rsid w:val="00F854ED"/>
    <w:rsid w:val="00F87AAD"/>
    <w:rsid w:val="00F90E30"/>
    <w:rsid w:val="00F913C0"/>
    <w:rsid w:val="00F917E4"/>
    <w:rsid w:val="00F91B00"/>
    <w:rsid w:val="00F9424D"/>
    <w:rsid w:val="00F94D96"/>
    <w:rsid w:val="00F94DFC"/>
    <w:rsid w:val="00F95077"/>
    <w:rsid w:val="00F96BAD"/>
    <w:rsid w:val="00FA18A4"/>
    <w:rsid w:val="00FA1E0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9E5"/>
    <w:rsid w:val="00FF0AAD"/>
    <w:rsid w:val="00FF29CE"/>
    <w:rsid w:val="00FF2E7C"/>
    <w:rsid w:val="00FF33F4"/>
    <w:rsid w:val="00FF3FC8"/>
    <w:rsid w:val="010B71C0"/>
    <w:rsid w:val="01896972"/>
    <w:rsid w:val="01AC6FCF"/>
    <w:rsid w:val="01B34945"/>
    <w:rsid w:val="01BC509A"/>
    <w:rsid w:val="01E06294"/>
    <w:rsid w:val="02061204"/>
    <w:rsid w:val="02090528"/>
    <w:rsid w:val="02096E03"/>
    <w:rsid w:val="020E78E7"/>
    <w:rsid w:val="021A15C5"/>
    <w:rsid w:val="0276200A"/>
    <w:rsid w:val="02852DB6"/>
    <w:rsid w:val="028B59EA"/>
    <w:rsid w:val="02AF57A1"/>
    <w:rsid w:val="02C63FE5"/>
    <w:rsid w:val="02D65515"/>
    <w:rsid w:val="02E24375"/>
    <w:rsid w:val="02F755BF"/>
    <w:rsid w:val="02F96635"/>
    <w:rsid w:val="02FF24A0"/>
    <w:rsid w:val="03815038"/>
    <w:rsid w:val="039A6E96"/>
    <w:rsid w:val="03BF043F"/>
    <w:rsid w:val="0402224B"/>
    <w:rsid w:val="04036678"/>
    <w:rsid w:val="040F2F01"/>
    <w:rsid w:val="04173B3F"/>
    <w:rsid w:val="0427122D"/>
    <w:rsid w:val="043E46CA"/>
    <w:rsid w:val="04BC3BC1"/>
    <w:rsid w:val="04D9319C"/>
    <w:rsid w:val="04E9276E"/>
    <w:rsid w:val="04F273D7"/>
    <w:rsid w:val="04F30B90"/>
    <w:rsid w:val="04FC7696"/>
    <w:rsid w:val="05072731"/>
    <w:rsid w:val="050A5BA5"/>
    <w:rsid w:val="050B5DF1"/>
    <w:rsid w:val="051029ED"/>
    <w:rsid w:val="05136C90"/>
    <w:rsid w:val="054674C8"/>
    <w:rsid w:val="05AC05FF"/>
    <w:rsid w:val="05E502CA"/>
    <w:rsid w:val="06270E5D"/>
    <w:rsid w:val="06301129"/>
    <w:rsid w:val="06502E59"/>
    <w:rsid w:val="06D905BE"/>
    <w:rsid w:val="06E8533E"/>
    <w:rsid w:val="070B6ABA"/>
    <w:rsid w:val="0721189F"/>
    <w:rsid w:val="07332E45"/>
    <w:rsid w:val="07381DF9"/>
    <w:rsid w:val="07393CB3"/>
    <w:rsid w:val="07645E7E"/>
    <w:rsid w:val="077A708A"/>
    <w:rsid w:val="07815AA2"/>
    <w:rsid w:val="07AD6EB5"/>
    <w:rsid w:val="07F455DF"/>
    <w:rsid w:val="08036844"/>
    <w:rsid w:val="08162B96"/>
    <w:rsid w:val="081C5108"/>
    <w:rsid w:val="082B5AF7"/>
    <w:rsid w:val="083828A5"/>
    <w:rsid w:val="086A0D8F"/>
    <w:rsid w:val="08C77B1C"/>
    <w:rsid w:val="08FA2F53"/>
    <w:rsid w:val="09253E9C"/>
    <w:rsid w:val="0929781C"/>
    <w:rsid w:val="092F203F"/>
    <w:rsid w:val="09311160"/>
    <w:rsid w:val="093B567F"/>
    <w:rsid w:val="095438C6"/>
    <w:rsid w:val="096444BB"/>
    <w:rsid w:val="098B1EF5"/>
    <w:rsid w:val="09911B95"/>
    <w:rsid w:val="09945F3A"/>
    <w:rsid w:val="09CB5A6C"/>
    <w:rsid w:val="09F00BD8"/>
    <w:rsid w:val="09F318B6"/>
    <w:rsid w:val="0A1A74F5"/>
    <w:rsid w:val="0A1D73FF"/>
    <w:rsid w:val="0A2574C6"/>
    <w:rsid w:val="0A2B06F6"/>
    <w:rsid w:val="0AD03B48"/>
    <w:rsid w:val="0ADE46D2"/>
    <w:rsid w:val="0AEC356E"/>
    <w:rsid w:val="0B2C5A30"/>
    <w:rsid w:val="0B3239C2"/>
    <w:rsid w:val="0B545B44"/>
    <w:rsid w:val="0B702958"/>
    <w:rsid w:val="0B936191"/>
    <w:rsid w:val="0B996BCD"/>
    <w:rsid w:val="0BAD6992"/>
    <w:rsid w:val="0C4A196E"/>
    <w:rsid w:val="0C4E2761"/>
    <w:rsid w:val="0C865206"/>
    <w:rsid w:val="0CA5115C"/>
    <w:rsid w:val="0CB579EC"/>
    <w:rsid w:val="0CBA1583"/>
    <w:rsid w:val="0D00427A"/>
    <w:rsid w:val="0D4D5C47"/>
    <w:rsid w:val="0D7632A7"/>
    <w:rsid w:val="0D9F1786"/>
    <w:rsid w:val="0DC045AB"/>
    <w:rsid w:val="0DFF7D07"/>
    <w:rsid w:val="0E2E3CAC"/>
    <w:rsid w:val="0E374CA0"/>
    <w:rsid w:val="0E3B3C5E"/>
    <w:rsid w:val="0E6F0740"/>
    <w:rsid w:val="0E741E8E"/>
    <w:rsid w:val="0E966C05"/>
    <w:rsid w:val="0EC0431F"/>
    <w:rsid w:val="0ECC3C82"/>
    <w:rsid w:val="0EE611FB"/>
    <w:rsid w:val="0EF31CBB"/>
    <w:rsid w:val="0EFB038B"/>
    <w:rsid w:val="0F1B17A5"/>
    <w:rsid w:val="0F2A6CBB"/>
    <w:rsid w:val="0F321E2D"/>
    <w:rsid w:val="0F3D01F7"/>
    <w:rsid w:val="0F4E1A3B"/>
    <w:rsid w:val="0F4E2E70"/>
    <w:rsid w:val="0F507ACE"/>
    <w:rsid w:val="0F637A0C"/>
    <w:rsid w:val="0F6715A1"/>
    <w:rsid w:val="0F7652DF"/>
    <w:rsid w:val="0F7C711F"/>
    <w:rsid w:val="0FA731D6"/>
    <w:rsid w:val="0FAD41AD"/>
    <w:rsid w:val="0FB23745"/>
    <w:rsid w:val="0FC301EE"/>
    <w:rsid w:val="0FE20DD6"/>
    <w:rsid w:val="10003D93"/>
    <w:rsid w:val="10121743"/>
    <w:rsid w:val="10232DBB"/>
    <w:rsid w:val="103F55E5"/>
    <w:rsid w:val="10440999"/>
    <w:rsid w:val="108903B7"/>
    <w:rsid w:val="108C2AA3"/>
    <w:rsid w:val="10AA5FE6"/>
    <w:rsid w:val="10DE14BF"/>
    <w:rsid w:val="10DF3115"/>
    <w:rsid w:val="113C222B"/>
    <w:rsid w:val="113E3C41"/>
    <w:rsid w:val="1154295F"/>
    <w:rsid w:val="115549A3"/>
    <w:rsid w:val="11683182"/>
    <w:rsid w:val="117D37AE"/>
    <w:rsid w:val="11B5797D"/>
    <w:rsid w:val="11B57E46"/>
    <w:rsid w:val="11C3203F"/>
    <w:rsid w:val="11E53E9B"/>
    <w:rsid w:val="11FC5F30"/>
    <w:rsid w:val="12015140"/>
    <w:rsid w:val="121F6105"/>
    <w:rsid w:val="1220431B"/>
    <w:rsid w:val="122C24FD"/>
    <w:rsid w:val="123A1B30"/>
    <w:rsid w:val="1243564A"/>
    <w:rsid w:val="125426AB"/>
    <w:rsid w:val="128F68BA"/>
    <w:rsid w:val="1299671F"/>
    <w:rsid w:val="12AB4C6E"/>
    <w:rsid w:val="12B63C9F"/>
    <w:rsid w:val="12BE3C06"/>
    <w:rsid w:val="12C21EE3"/>
    <w:rsid w:val="12F80FDD"/>
    <w:rsid w:val="131813A1"/>
    <w:rsid w:val="133B25DA"/>
    <w:rsid w:val="134662BE"/>
    <w:rsid w:val="13536BEE"/>
    <w:rsid w:val="13536F24"/>
    <w:rsid w:val="13E24C23"/>
    <w:rsid w:val="13F61B8E"/>
    <w:rsid w:val="13F82346"/>
    <w:rsid w:val="141842FE"/>
    <w:rsid w:val="14352831"/>
    <w:rsid w:val="146B64E1"/>
    <w:rsid w:val="147D31C6"/>
    <w:rsid w:val="14993B21"/>
    <w:rsid w:val="14BD2293"/>
    <w:rsid w:val="14C067A7"/>
    <w:rsid w:val="14C670C1"/>
    <w:rsid w:val="14D73601"/>
    <w:rsid w:val="14FB2CFA"/>
    <w:rsid w:val="15470526"/>
    <w:rsid w:val="154E7905"/>
    <w:rsid w:val="1573625A"/>
    <w:rsid w:val="15752001"/>
    <w:rsid w:val="1576471F"/>
    <w:rsid w:val="15890495"/>
    <w:rsid w:val="15B50575"/>
    <w:rsid w:val="15DF729A"/>
    <w:rsid w:val="15E03D6F"/>
    <w:rsid w:val="15EF5060"/>
    <w:rsid w:val="15FD0D77"/>
    <w:rsid w:val="16203C8A"/>
    <w:rsid w:val="1623495D"/>
    <w:rsid w:val="162B1C4E"/>
    <w:rsid w:val="16394D91"/>
    <w:rsid w:val="164F20ED"/>
    <w:rsid w:val="169729F3"/>
    <w:rsid w:val="169C366A"/>
    <w:rsid w:val="16BA10F0"/>
    <w:rsid w:val="16C76A79"/>
    <w:rsid w:val="16DA1E4D"/>
    <w:rsid w:val="16FB015A"/>
    <w:rsid w:val="17003574"/>
    <w:rsid w:val="17111112"/>
    <w:rsid w:val="17272208"/>
    <w:rsid w:val="17404183"/>
    <w:rsid w:val="17535B24"/>
    <w:rsid w:val="176F611D"/>
    <w:rsid w:val="178B1BEB"/>
    <w:rsid w:val="17B06B1C"/>
    <w:rsid w:val="17C62C74"/>
    <w:rsid w:val="1842664F"/>
    <w:rsid w:val="18543673"/>
    <w:rsid w:val="185A7C10"/>
    <w:rsid w:val="18625484"/>
    <w:rsid w:val="186B7D0B"/>
    <w:rsid w:val="18954FFE"/>
    <w:rsid w:val="18982810"/>
    <w:rsid w:val="189D065F"/>
    <w:rsid w:val="18BC6F6C"/>
    <w:rsid w:val="18D61068"/>
    <w:rsid w:val="18F32BCE"/>
    <w:rsid w:val="19311A65"/>
    <w:rsid w:val="193A7F73"/>
    <w:rsid w:val="19996B61"/>
    <w:rsid w:val="19EB2F62"/>
    <w:rsid w:val="1A065A55"/>
    <w:rsid w:val="1A1453C9"/>
    <w:rsid w:val="1A3F4F85"/>
    <w:rsid w:val="1A43145B"/>
    <w:rsid w:val="1A45032B"/>
    <w:rsid w:val="1A471154"/>
    <w:rsid w:val="1A474406"/>
    <w:rsid w:val="1A522744"/>
    <w:rsid w:val="1A8F1B5D"/>
    <w:rsid w:val="1A9B1F53"/>
    <w:rsid w:val="1ABB54B3"/>
    <w:rsid w:val="1B023F30"/>
    <w:rsid w:val="1B3B6280"/>
    <w:rsid w:val="1B3D4012"/>
    <w:rsid w:val="1B481AFB"/>
    <w:rsid w:val="1B702FDD"/>
    <w:rsid w:val="1B811CC2"/>
    <w:rsid w:val="1B8F6978"/>
    <w:rsid w:val="1BC27038"/>
    <w:rsid w:val="1BF62321"/>
    <w:rsid w:val="1C2D5D31"/>
    <w:rsid w:val="1C2F0AA8"/>
    <w:rsid w:val="1C343DDB"/>
    <w:rsid w:val="1C3E1FB8"/>
    <w:rsid w:val="1C432C61"/>
    <w:rsid w:val="1C696E9C"/>
    <w:rsid w:val="1C6E75AB"/>
    <w:rsid w:val="1C8B5669"/>
    <w:rsid w:val="1CC83450"/>
    <w:rsid w:val="1CE21C50"/>
    <w:rsid w:val="1CEB2A5A"/>
    <w:rsid w:val="1D235F66"/>
    <w:rsid w:val="1D606398"/>
    <w:rsid w:val="1D665A9E"/>
    <w:rsid w:val="1D8D3AB3"/>
    <w:rsid w:val="1D9A21EC"/>
    <w:rsid w:val="1DAB68A7"/>
    <w:rsid w:val="1DB11E63"/>
    <w:rsid w:val="1DC566C0"/>
    <w:rsid w:val="1DE501D0"/>
    <w:rsid w:val="1DFF009D"/>
    <w:rsid w:val="1E020DEC"/>
    <w:rsid w:val="1E0A2D8C"/>
    <w:rsid w:val="1E21472F"/>
    <w:rsid w:val="1E2804C4"/>
    <w:rsid w:val="1E2C49A1"/>
    <w:rsid w:val="1E3722FA"/>
    <w:rsid w:val="1E457658"/>
    <w:rsid w:val="1E8146DA"/>
    <w:rsid w:val="1EA46EA2"/>
    <w:rsid w:val="1EAA39F6"/>
    <w:rsid w:val="1EB2633F"/>
    <w:rsid w:val="1ED930D7"/>
    <w:rsid w:val="1EF95CA3"/>
    <w:rsid w:val="1F5E55C0"/>
    <w:rsid w:val="1F8C273D"/>
    <w:rsid w:val="1F8E0455"/>
    <w:rsid w:val="1F8F1F13"/>
    <w:rsid w:val="1FAE5F22"/>
    <w:rsid w:val="1FAF272D"/>
    <w:rsid w:val="1FE374E8"/>
    <w:rsid w:val="1FE87080"/>
    <w:rsid w:val="1FF35ED6"/>
    <w:rsid w:val="200229BA"/>
    <w:rsid w:val="200B6AF4"/>
    <w:rsid w:val="20156E23"/>
    <w:rsid w:val="204246C7"/>
    <w:rsid w:val="204934AB"/>
    <w:rsid w:val="20573F56"/>
    <w:rsid w:val="20701363"/>
    <w:rsid w:val="20705710"/>
    <w:rsid w:val="20840318"/>
    <w:rsid w:val="20930DFA"/>
    <w:rsid w:val="20AC7CB1"/>
    <w:rsid w:val="20C17589"/>
    <w:rsid w:val="20D02BC7"/>
    <w:rsid w:val="20DB1690"/>
    <w:rsid w:val="210637EE"/>
    <w:rsid w:val="211E529B"/>
    <w:rsid w:val="21376E68"/>
    <w:rsid w:val="213A5E32"/>
    <w:rsid w:val="21791FA0"/>
    <w:rsid w:val="218A18BD"/>
    <w:rsid w:val="21956556"/>
    <w:rsid w:val="21D10287"/>
    <w:rsid w:val="21D36B48"/>
    <w:rsid w:val="21E93CCA"/>
    <w:rsid w:val="221B7641"/>
    <w:rsid w:val="22404E51"/>
    <w:rsid w:val="224F5646"/>
    <w:rsid w:val="2274431E"/>
    <w:rsid w:val="228320F4"/>
    <w:rsid w:val="229A0A46"/>
    <w:rsid w:val="22BE394A"/>
    <w:rsid w:val="22D5441E"/>
    <w:rsid w:val="22D61F71"/>
    <w:rsid w:val="22D7296D"/>
    <w:rsid w:val="22DE0B23"/>
    <w:rsid w:val="2314254A"/>
    <w:rsid w:val="231C5A4D"/>
    <w:rsid w:val="232660FF"/>
    <w:rsid w:val="23434EDE"/>
    <w:rsid w:val="23643D10"/>
    <w:rsid w:val="23CC6E61"/>
    <w:rsid w:val="2418652F"/>
    <w:rsid w:val="242F5CE9"/>
    <w:rsid w:val="2449729D"/>
    <w:rsid w:val="244B793B"/>
    <w:rsid w:val="245A1846"/>
    <w:rsid w:val="248512BD"/>
    <w:rsid w:val="24B447DD"/>
    <w:rsid w:val="24E51B39"/>
    <w:rsid w:val="24E76450"/>
    <w:rsid w:val="24EC7707"/>
    <w:rsid w:val="24F42852"/>
    <w:rsid w:val="24F976AF"/>
    <w:rsid w:val="251146F7"/>
    <w:rsid w:val="25173A41"/>
    <w:rsid w:val="252D5DCC"/>
    <w:rsid w:val="253F00D1"/>
    <w:rsid w:val="25470136"/>
    <w:rsid w:val="255079FB"/>
    <w:rsid w:val="255976CE"/>
    <w:rsid w:val="255B75CB"/>
    <w:rsid w:val="25736D1B"/>
    <w:rsid w:val="25A45302"/>
    <w:rsid w:val="25A94E88"/>
    <w:rsid w:val="25CA11BB"/>
    <w:rsid w:val="25E135DF"/>
    <w:rsid w:val="26171DA6"/>
    <w:rsid w:val="263E633F"/>
    <w:rsid w:val="266B3BEC"/>
    <w:rsid w:val="266E738D"/>
    <w:rsid w:val="267E599C"/>
    <w:rsid w:val="26A86F9D"/>
    <w:rsid w:val="26BE0E5E"/>
    <w:rsid w:val="26C17FC8"/>
    <w:rsid w:val="27106F7D"/>
    <w:rsid w:val="273C78CD"/>
    <w:rsid w:val="275056B3"/>
    <w:rsid w:val="276C7815"/>
    <w:rsid w:val="27831834"/>
    <w:rsid w:val="27B132D6"/>
    <w:rsid w:val="27BA4B60"/>
    <w:rsid w:val="27FF1FDA"/>
    <w:rsid w:val="285139F8"/>
    <w:rsid w:val="285A5755"/>
    <w:rsid w:val="286D7425"/>
    <w:rsid w:val="28D02849"/>
    <w:rsid w:val="29010E3E"/>
    <w:rsid w:val="29046B4E"/>
    <w:rsid w:val="29226E05"/>
    <w:rsid w:val="293A6874"/>
    <w:rsid w:val="29467758"/>
    <w:rsid w:val="295D431F"/>
    <w:rsid w:val="29650145"/>
    <w:rsid w:val="29C84C99"/>
    <w:rsid w:val="29D07A18"/>
    <w:rsid w:val="29ED63D5"/>
    <w:rsid w:val="2A275682"/>
    <w:rsid w:val="2A275D46"/>
    <w:rsid w:val="2A2E0820"/>
    <w:rsid w:val="2A355827"/>
    <w:rsid w:val="2A3B3808"/>
    <w:rsid w:val="2A4B1743"/>
    <w:rsid w:val="2A526E38"/>
    <w:rsid w:val="2A9B297D"/>
    <w:rsid w:val="2AA14025"/>
    <w:rsid w:val="2ACC225D"/>
    <w:rsid w:val="2B2348E2"/>
    <w:rsid w:val="2B385DB8"/>
    <w:rsid w:val="2B513389"/>
    <w:rsid w:val="2B5D0645"/>
    <w:rsid w:val="2B8448C3"/>
    <w:rsid w:val="2B907720"/>
    <w:rsid w:val="2BCD0751"/>
    <w:rsid w:val="2BE42A84"/>
    <w:rsid w:val="2BFC1AEA"/>
    <w:rsid w:val="2C5B2A99"/>
    <w:rsid w:val="2C6B05B8"/>
    <w:rsid w:val="2C7F2EA6"/>
    <w:rsid w:val="2C8E4E6A"/>
    <w:rsid w:val="2C9927E7"/>
    <w:rsid w:val="2C9E28AB"/>
    <w:rsid w:val="2CA56F60"/>
    <w:rsid w:val="2CAF2767"/>
    <w:rsid w:val="2CBC5E2E"/>
    <w:rsid w:val="2CD60620"/>
    <w:rsid w:val="2CF13448"/>
    <w:rsid w:val="2CFB59F1"/>
    <w:rsid w:val="2D125EB2"/>
    <w:rsid w:val="2D1E05D5"/>
    <w:rsid w:val="2D316C05"/>
    <w:rsid w:val="2D327B45"/>
    <w:rsid w:val="2D5B3B92"/>
    <w:rsid w:val="2D7B2123"/>
    <w:rsid w:val="2D8729E7"/>
    <w:rsid w:val="2DC528A4"/>
    <w:rsid w:val="2DDC641C"/>
    <w:rsid w:val="2DDE730E"/>
    <w:rsid w:val="2DE24DF0"/>
    <w:rsid w:val="2E1657F8"/>
    <w:rsid w:val="2E2B4AD4"/>
    <w:rsid w:val="2E445173"/>
    <w:rsid w:val="2E4956C5"/>
    <w:rsid w:val="2E7A5972"/>
    <w:rsid w:val="2E9D419F"/>
    <w:rsid w:val="2EA771D7"/>
    <w:rsid w:val="2EA96974"/>
    <w:rsid w:val="2EB407A7"/>
    <w:rsid w:val="2EB64F96"/>
    <w:rsid w:val="2EC27772"/>
    <w:rsid w:val="2ED24D63"/>
    <w:rsid w:val="2EF114DE"/>
    <w:rsid w:val="2F337D9E"/>
    <w:rsid w:val="2F393F7E"/>
    <w:rsid w:val="2F6A6FF5"/>
    <w:rsid w:val="2F701A58"/>
    <w:rsid w:val="2F7C32CD"/>
    <w:rsid w:val="2FAE0DF1"/>
    <w:rsid w:val="3003631E"/>
    <w:rsid w:val="30050CC9"/>
    <w:rsid w:val="302936A0"/>
    <w:rsid w:val="30557E26"/>
    <w:rsid w:val="30745F5B"/>
    <w:rsid w:val="3078124A"/>
    <w:rsid w:val="307E35CB"/>
    <w:rsid w:val="308229EF"/>
    <w:rsid w:val="308F0D73"/>
    <w:rsid w:val="3090209F"/>
    <w:rsid w:val="30C24208"/>
    <w:rsid w:val="31046C0A"/>
    <w:rsid w:val="31376D2F"/>
    <w:rsid w:val="31623402"/>
    <w:rsid w:val="316B2518"/>
    <w:rsid w:val="31E42CAB"/>
    <w:rsid w:val="31EB4942"/>
    <w:rsid w:val="32187B45"/>
    <w:rsid w:val="32392D9B"/>
    <w:rsid w:val="32462CD0"/>
    <w:rsid w:val="325C4E4F"/>
    <w:rsid w:val="325E2CD2"/>
    <w:rsid w:val="3273050E"/>
    <w:rsid w:val="32891F62"/>
    <w:rsid w:val="328C1583"/>
    <w:rsid w:val="329A0A8C"/>
    <w:rsid w:val="32BE3F31"/>
    <w:rsid w:val="32C9080C"/>
    <w:rsid w:val="32CA0CF4"/>
    <w:rsid w:val="32ED2F20"/>
    <w:rsid w:val="33297E71"/>
    <w:rsid w:val="334275F5"/>
    <w:rsid w:val="33636F14"/>
    <w:rsid w:val="33670485"/>
    <w:rsid w:val="336B7C6F"/>
    <w:rsid w:val="337270D9"/>
    <w:rsid w:val="33882707"/>
    <w:rsid w:val="33C54618"/>
    <w:rsid w:val="33CE7C7B"/>
    <w:rsid w:val="33D7070D"/>
    <w:rsid w:val="34211C7C"/>
    <w:rsid w:val="34320698"/>
    <w:rsid w:val="34610489"/>
    <w:rsid w:val="34617F81"/>
    <w:rsid w:val="3463207B"/>
    <w:rsid w:val="347108BE"/>
    <w:rsid w:val="347A4EB8"/>
    <w:rsid w:val="348A25BF"/>
    <w:rsid w:val="34A9673F"/>
    <w:rsid w:val="34A9736C"/>
    <w:rsid w:val="34E35780"/>
    <w:rsid w:val="35183D8B"/>
    <w:rsid w:val="35201CDC"/>
    <w:rsid w:val="35387D52"/>
    <w:rsid w:val="353F0382"/>
    <w:rsid w:val="35556F59"/>
    <w:rsid w:val="35746D1B"/>
    <w:rsid w:val="358E0757"/>
    <w:rsid w:val="35986F22"/>
    <w:rsid w:val="35991525"/>
    <w:rsid w:val="35A12FFA"/>
    <w:rsid w:val="35A8629A"/>
    <w:rsid w:val="35AE7101"/>
    <w:rsid w:val="35E070C2"/>
    <w:rsid w:val="35F75222"/>
    <w:rsid w:val="35F9212A"/>
    <w:rsid w:val="361A7B7A"/>
    <w:rsid w:val="366043F8"/>
    <w:rsid w:val="366626F2"/>
    <w:rsid w:val="36706144"/>
    <w:rsid w:val="369D07FD"/>
    <w:rsid w:val="37196075"/>
    <w:rsid w:val="371B1E9C"/>
    <w:rsid w:val="371C4741"/>
    <w:rsid w:val="374F6194"/>
    <w:rsid w:val="377B6B52"/>
    <w:rsid w:val="377F6041"/>
    <w:rsid w:val="37960273"/>
    <w:rsid w:val="37996E2E"/>
    <w:rsid w:val="37D20759"/>
    <w:rsid w:val="37DE6418"/>
    <w:rsid w:val="382E42A6"/>
    <w:rsid w:val="38405AEA"/>
    <w:rsid w:val="387549D1"/>
    <w:rsid w:val="388A6AC2"/>
    <w:rsid w:val="38A75F14"/>
    <w:rsid w:val="38B3267B"/>
    <w:rsid w:val="38BD2C6C"/>
    <w:rsid w:val="38D2432A"/>
    <w:rsid w:val="38EE3C0C"/>
    <w:rsid w:val="38EF7C92"/>
    <w:rsid w:val="38FA0996"/>
    <w:rsid w:val="39017FA3"/>
    <w:rsid w:val="39115517"/>
    <w:rsid w:val="39303AF5"/>
    <w:rsid w:val="396E02FE"/>
    <w:rsid w:val="3982272C"/>
    <w:rsid w:val="39841FDC"/>
    <w:rsid w:val="399648C1"/>
    <w:rsid w:val="39C95A6A"/>
    <w:rsid w:val="39CA598B"/>
    <w:rsid w:val="39D810DC"/>
    <w:rsid w:val="39F7480B"/>
    <w:rsid w:val="3A156CE0"/>
    <w:rsid w:val="3A2D66D3"/>
    <w:rsid w:val="3A6D4ED9"/>
    <w:rsid w:val="3A7649D3"/>
    <w:rsid w:val="3A874D94"/>
    <w:rsid w:val="3A9620D1"/>
    <w:rsid w:val="3A9B2CF5"/>
    <w:rsid w:val="3AA20757"/>
    <w:rsid w:val="3AA26C9B"/>
    <w:rsid w:val="3AC30E92"/>
    <w:rsid w:val="3AD26ADA"/>
    <w:rsid w:val="3ADC5E36"/>
    <w:rsid w:val="3AE3578B"/>
    <w:rsid w:val="3B292B01"/>
    <w:rsid w:val="3B431FEE"/>
    <w:rsid w:val="3B5C0D95"/>
    <w:rsid w:val="3B6169E9"/>
    <w:rsid w:val="3B641FB8"/>
    <w:rsid w:val="3B7F2802"/>
    <w:rsid w:val="3BC33F8E"/>
    <w:rsid w:val="3BC84CE9"/>
    <w:rsid w:val="3BCE7F95"/>
    <w:rsid w:val="3BDE54A4"/>
    <w:rsid w:val="3C087392"/>
    <w:rsid w:val="3C380D7F"/>
    <w:rsid w:val="3C3F7E0E"/>
    <w:rsid w:val="3C6E40BE"/>
    <w:rsid w:val="3C740354"/>
    <w:rsid w:val="3C893061"/>
    <w:rsid w:val="3C8D007C"/>
    <w:rsid w:val="3CCD4819"/>
    <w:rsid w:val="3CD80496"/>
    <w:rsid w:val="3D0F30FA"/>
    <w:rsid w:val="3D401868"/>
    <w:rsid w:val="3D5D626C"/>
    <w:rsid w:val="3D634A82"/>
    <w:rsid w:val="3D9210CE"/>
    <w:rsid w:val="3DAC0E95"/>
    <w:rsid w:val="3DCC2BC7"/>
    <w:rsid w:val="3DDC192F"/>
    <w:rsid w:val="3DED59E2"/>
    <w:rsid w:val="3E017C80"/>
    <w:rsid w:val="3E0D43E2"/>
    <w:rsid w:val="3E2E1443"/>
    <w:rsid w:val="3E453874"/>
    <w:rsid w:val="3E7A082F"/>
    <w:rsid w:val="3E926EC3"/>
    <w:rsid w:val="3E93478A"/>
    <w:rsid w:val="3E9F10BF"/>
    <w:rsid w:val="3EB533AC"/>
    <w:rsid w:val="3EB63CD9"/>
    <w:rsid w:val="3EBB10B7"/>
    <w:rsid w:val="3EC40624"/>
    <w:rsid w:val="3ED045A4"/>
    <w:rsid w:val="3F0875E3"/>
    <w:rsid w:val="3F0F3B2C"/>
    <w:rsid w:val="3F1F25CF"/>
    <w:rsid w:val="3F254A3A"/>
    <w:rsid w:val="3F31500E"/>
    <w:rsid w:val="3F4B2E93"/>
    <w:rsid w:val="3F5418ED"/>
    <w:rsid w:val="3F5B21D1"/>
    <w:rsid w:val="3FBB567A"/>
    <w:rsid w:val="3FBD74AC"/>
    <w:rsid w:val="403F4D32"/>
    <w:rsid w:val="40676965"/>
    <w:rsid w:val="40A6520E"/>
    <w:rsid w:val="40A80BDA"/>
    <w:rsid w:val="40A976C3"/>
    <w:rsid w:val="40C10E7A"/>
    <w:rsid w:val="40F40559"/>
    <w:rsid w:val="411175CE"/>
    <w:rsid w:val="411531A3"/>
    <w:rsid w:val="4137782A"/>
    <w:rsid w:val="413F78A7"/>
    <w:rsid w:val="41643432"/>
    <w:rsid w:val="41E90F68"/>
    <w:rsid w:val="41F94DDC"/>
    <w:rsid w:val="42072B92"/>
    <w:rsid w:val="421B0E01"/>
    <w:rsid w:val="42481B2A"/>
    <w:rsid w:val="424F4CFA"/>
    <w:rsid w:val="42F9174D"/>
    <w:rsid w:val="43095773"/>
    <w:rsid w:val="43206CCA"/>
    <w:rsid w:val="432124F5"/>
    <w:rsid w:val="437906BF"/>
    <w:rsid w:val="438C3BD1"/>
    <w:rsid w:val="43CE3BC6"/>
    <w:rsid w:val="43F35F24"/>
    <w:rsid w:val="44203CB2"/>
    <w:rsid w:val="44211E9A"/>
    <w:rsid w:val="442E4289"/>
    <w:rsid w:val="446A1C8A"/>
    <w:rsid w:val="44A333B1"/>
    <w:rsid w:val="44C70D28"/>
    <w:rsid w:val="44EE2D37"/>
    <w:rsid w:val="45162590"/>
    <w:rsid w:val="452C59C1"/>
    <w:rsid w:val="454A07E6"/>
    <w:rsid w:val="454E65F0"/>
    <w:rsid w:val="45527265"/>
    <w:rsid w:val="457210D8"/>
    <w:rsid w:val="45A90351"/>
    <w:rsid w:val="45B76BCE"/>
    <w:rsid w:val="45CC57D9"/>
    <w:rsid w:val="45E30915"/>
    <w:rsid w:val="4625557D"/>
    <w:rsid w:val="46315F36"/>
    <w:rsid w:val="464D3BEF"/>
    <w:rsid w:val="465173C0"/>
    <w:rsid w:val="467D3ADC"/>
    <w:rsid w:val="467E3F9B"/>
    <w:rsid w:val="4684656F"/>
    <w:rsid w:val="468E679B"/>
    <w:rsid w:val="46AD51A9"/>
    <w:rsid w:val="46CC7A0B"/>
    <w:rsid w:val="46D81B9E"/>
    <w:rsid w:val="46FB3E40"/>
    <w:rsid w:val="47006EDA"/>
    <w:rsid w:val="47047ED5"/>
    <w:rsid w:val="470D32F9"/>
    <w:rsid w:val="473D266B"/>
    <w:rsid w:val="4763686D"/>
    <w:rsid w:val="47920D86"/>
    <w:rsid w:val="47B952BD"/>
    <w:rsid w:val="47F9683D"/>
    <w:rsid w:val="47FE7D60"/>
    <w:rsid w:val="48110BF4"/>
    <w:rsid w:val="4814050E"/>
    <w:rsid w:val="48200D75"/>
    <w:rsid w:val="48283643"/>
    <w:rsid w:val="482F72BE"/>
    <w:rsid w:val="48516D40"/>
    <w:rsid w:val="486A5C7B"/>
    <w:rsid w:val="48796F8E"/>
    <w:rsid w:val="489F7A4F"/>
    <w:rsid w:val="48A167AB"/>
    <w:rsid w:val="48BB3F94"/>
    <w:rsid w:val="48EC2652"/>
    <w:rsid w:val="49613924"/>
    <w:rsid w:val="496D0F3E"/>
    <w:rsid w:val="497817A2"/>
    <w:rsid w:val="49870AD2"/>
    <w:rsid w:val="49A71486"/>
    <w:rsid w:val="49BC1506"/>
    <w:rsid w:val="49DA5088"/>
    <w:rsid w:val="49E12571"/>
    <w:rsid w:val="49E378C6"/>
    <w:rsid w:val="49FB0C4F"/>
    <w:rsid w:val="49FD7B4F"/>
    <w:rsid w:val="4A274CE5"/>
    <w:rsid w:val="4A634BCF"/>
    <w:rsid w:val="4A6F6F23"/>
    <w:rsid w:val="4A834EBE"/>
    <w:rsid w:val="4AF2493D"/>
    <w:rsid w:val="4B0E7BA9"/>
    <w:rsid w:val="4B1A0B0A"/>
    <w:rsid w:val="4B3040AF"/>
    <w:rsid w:val="4B59799B"/>
    <w:rsid w:val="4B7E34AB"/>
    <w:rsid w:val="4B8800C5"/>
    <w:rsid w:val="4BA90131"/>
    <w:rsid w:val="4BAA27D8"/>
    <w:rsid w:val="4BB36285"/>
    <w:rsid w:val="4BC43016"/>
    <w:rsid w:val="4BD3230F"/>
    <w:rsid w:val="4BD35EC5"/>
    <w:rsid w:val="4C1B3C0A"/>
    <w:rsid w:val="4C592BBC"/>
    <w:rsid w:val="4CBC728A"/>
    <w:rsid w:val="4CDB6939"/>
    <w:rsid w:val="4CFB69A6"/>
    <w:rsid w:val="4D2316EA"/>
    <w:rsid w:val="4D267491"/>
    <w:rsid w:val="4D4519A4"/>
    <w:rsid w:val="4D461C44"/>
    <w:rsid w:val="4D830955"/>
    <w:rsid w:val="4DAE13DF"/>
    <w:rsid w:val="4DE47D80"/>
    <w:rsid w:val="4DEB7246"/>
    <w:rsid w:val="4DFF2827"/>
    <w:rsid w:val="4E112BDE"/>
    <w:rsid w:val="4E3E017D"/>
    <w:rsid w:val="4E573AFE"/>
    <w:rsid w:val="4E7438FA"/>
    <w:rsid w:val="4E814039"/>
    <w:rsid w:val="4EA44C2A"/>
    <w:rsid w:val="4F3704E1"/>
    <w:rsid w:val="4F3B09D0"/>
    <w:rsid w:val="4F413677"/>
    <w:rsid w:val="4F873483"/>
    <w:rsid w:val="4F954F9F"/>
    <w:rsid w:val="4F956A89"/>
    <w:rsid w:val="4FB07784"/>
    <w:rsid w:val="4FF96191"/>
    <w:rsid w:val="4FFC0A94"/>
    <w:rsid w:val="50081059"/>
    <w:rsid w:val="501D6D5F"/>
    <w:rsid w:val="50982139"/>
    <w:rsid w:val="50C150AD"/>
    <w:rsid w:val="50F36CD9"/>
    <w:rsid w:val="5115437F"/>
    <w:rsid w:val="512E641B"/>
    <w:rsid w:val="515E7E47"/>
    <w:rsid w:val="51736705"/>
    <w:rsid w:val="517D059D"/>
    <w:rsid w:val="51865889"/>
    <w:rsid w:val="519134E1"/>
    <w:rsid w:val="51D177F9"/>
    <w:rsid w:val="51E05EDD"/>
    <w:rsid w:val="51E94CEA"/>
    <w:rsid w:val="51FC018E"/>
    <w:rsid w:val="521D1FAB"/>
    <w:rsid w:val="523B0CA7"/>
    <w:rsid w:val="523F7F97"/>
    <w:rsid w:val="52EF76D3"/>
    <w:rsid w:val="53047529"/>
    <w:rsid w:val="533C13A0"/>
    <w:rsid w:val="534A3C64"/>
    <w:rsid w:val="53B90249"/>
    <w:rsid w:val="53EA7C09"/>
    <w:rsid w:val="53FB1B58"/>
    <w:rsid w:val="53FB58C3"/>
    <w:rsid w:val="53FF1137"/>
    <w:rsid w:val="53FF769C"/>
    <w:rsid w:val="54107975"/>
    <w:rsid w:val="5451551D"/>
    <w:rsid w:val="545D3F2A"/>
    <w:rsid w:val="545D5D71"/>
    <w:rsid w:val="54A71E1B"/>
    <w:rsid w:val="54EB0428"/>
    <w:rsid w:val="54EC7522"/>
    <w:rsid w:val="550E573D"/>
    <w:rsid w:val="553A4CBA"/>
    <w:rsid w:val="555A031F"/>
    <w:rsid w:val="557521BE"/>
    <w:rsid w:val="557E6857"/>
    <w:rsid w:val="55E15918"/>
    <w:rsid w:val="55E65C45"/>
    <w:rsid w:val="55FC47DA"/>
    <w:rsid w:val="56213041"/>
    <w:rsid w:val="56303178"/>
    <w:rsid w:val="563A460F"/>
    <w:rsid w:val="566B6C45"/>
    <w:rsid w:val="566F6F67"/>
    <w:rsid w:val="56894233"/>
    <w:rsid w:val="56975E59"/>
    <w:rsid w:val="569C350B"/>
    <w:rsid w:val="56B11AED"/>
    <w:rsid w:val="56BF0EA2"/>
    <w:rsid w:val="56D511C3"/>
    <w:rsid w:val="56E8770E"/>
    <w:rsid w:val="571E625F"/>
    <w:rsid w:val="574B053F"/>
    <w:rsid w:val="57BD0A78"/>
    <w:rsid w:val="57DB1982"/>
    <w:rsid w:val="57F70CF4"/>
    <w:rsid w:val="57FB5F50"/>
    <w:rsid w:val="580E11C0"/>
    <w:rsid w:val="5810495A"/>
    <w:rsid w:val="58135301"/>
    <w:rsid w:val="58464D39"/>
    <w:rsid w:val="58756864"/>
    <w:rsid w:val="588D56F0"/>
    <w:rsid w:val="58984B29"/>
    <w:rsid w:val="58A444C3"/>
    <w:rsid w:val="58B03A4A"/>
    <w:rsid w:val="58C00FF1"/>
    <w:rsid w:val="58CE17B3"/>
    <w:rsid w:val="590D5DDF"/>
    <w:rsid w:val="592326A6"/>
    <w:rsid w:val="59542EAA"/>
    <w:rsid w:val="596D0C5A"/>
    <w:rsid w:val="598440EF"/>
    <w:rsid w:val="59C754AB"/>
    <w:rsid w:val="59E079AB"/>
    <w:rsid w:val="59E54DB6"/>
    <w:rsid w:val="5A2600FB"/>
    <w:rsid w:val="5A375749"/>
    <w:rsid w:val="5A726BA0"/>
    <w:rsid w:val="5AD3204F"/>
    <w:rsid w:val="5ADC55C9"/>
    <w:rsid w:val="5AEE27A5"/>
    <w:rsid w:val="5B071BBA"/>
    <w:rsid w:val="5B2170D8"/>
    <w:rsid w:val="5B427A30"/>
    <w:rsid w:val="5B63756F"/>
    <w:rsid w:val="5B725B6B"/>
    <w:rsid w:val="5B881FA6"/>
    <w:rsid w:val="5BBE026D"/>
    <w:rsid w:val="5BDF3319"/>
    <w:rsid w:val="5C6B05A0"/>
    <w:rsid w:val="5C6B2625"/>
    <w:rsid w:val="5C991133"/>
    <w:rsid w:val="5CBE767D"/>
    <w:rsid w:val="5CCF3F98"/>
    <w:rsid w:val="5CE36EB8"/>
    <w:rsid w:val="5D5144C0"/>
    <w:rsid w:val="5DA5023C"/>
    <w:rsid w:val="5DCA48FD"/>
    <w:rsid w:val="5DCB38EA"/>
    <w:rsid w:val="5DF2254A"/>
    <w:rsid w:val="5E225D5D"/>
    <w:rsid w:val="5E234757"/>
    <w:rsid w:val="5E271D98"/>
    <w:rsid w:val="5E2A7858"/>
    <w:rsid w:val="5E2F1D38"/>
    <w:rsid w:val="5E76673C"/>
    <w:rsid w:val="5E790BE8"/>
    <w:rsid w:val="5E951F2F"/>
    <w:rsid w:val="5E973039"/>
    <w:rsid w:val="5EA87B0A"/>
    <w:rsid w:val="5EAC65CE"/>
    <w:rsid w:val="5EB119EE"/>
    <w:rsid w:val="5EB45BC8"/>
    <w:rsid w:val="5EE96083"/>
    <w:rsid w:val="5F3E2940"/>
    <w:rsid w:val="5F4945D9"/>
    <w:rsid w:val="5F4E4F30"/>
    <w:rsid w:val="5F653A2B"/>
    <w:rsid w:val="5F7978F8"/>
    <w:rsid w:val="5FAE4FA2"/>
    <w:rsid w:val="5FCB4192"/>
    <w:rsid w:val="601A7A49"/>
    <w:rsid w:val="60367D91"/>
    <w:rsid w:val="604445A8"/>
    <w:rsid w:val="6050064D"/>
    <w:rsid w:val="606E7CCE"/>
    <w:rsid w:val="609751E5"/>
    <w:rsid w:val="61350728"/>
    <w:rsid w:val="614F287F"/>
    <w:rsid w:val="61B45121"/>
    <w:rsid w:val="61C16E82"/>
    <w:rsid w:val="61C72652"/>
    <w:rsid w:val="61CE5B0B"/>
    <w:rsid w:val="61D81A5C"/>
    <w:rsid w:val="61EA361B"/>
    <w:rsid w:val="62775577"/>
    <w:rsid w:val="62B8321C"/>
    <w:rsid w:val="62D24AB9"/>
    <w:rsid w:val="62E71C3B"/>
    <w:rsid w:val="630F5D72"/>
    <w:rsid w:val="63142BFD"/>
    <w:rsid w:val="63177496"/>
    <w:rsid w:val="635F2BC7"/>
    <w:rsid w:val="63763A43"/>
    <w:rsid w:val="63766DF5"/>
    <w:rsid w:val="6392664E"/>
    <w:rsid w:val="639E6B44"/>
    <w:rsid w:val="63A77EAB"/>
    <w:rsid w:val="63B521B0"/>
    <w:rsid w:val="63BE6B4B"/>
    <w:rsid w:val="63D603CA"/>
    <w:rsid w:val="63E41E32"/>
    <w:rsid w:val="643636FB"/>
    <w:rsid w:val="643E63DE"/>
    <w:rsid w:val="64522BD2"/>
    <w:rsid w:val="646766DC"/>
    <w:rsid w:val="64702759"/>
    <w:rsid w:val="64811558"/>
    <w:rsid w:val="6503009D"/>
    <w:rsid w:val="651E5E20"/>
    <w:rsid w:val="652B1464"/>
    <w:rsid w:val="65325F9A"/>
    <w:rsid w:val="656A0D91"/>
    <w:rsid w:val="656E2D36"/>
    <w:rsid w:val="657E2D0B"/>
    <w:rsid w:val="65B45FCF"/>
    <w:rsid w:val="65C16849"/>
    <w:rsid w:val="65EE4AD3"/>
    <w:rsid w:val="65F07580"/>
    <w:rsid w:val="65F42EF5"/>
    <w:rsid w:val="65FE510C"/>
    <w:rsid w:val="660E507B"/>
    <w:rsid w:val="66114659"/>
    <w:rsid w:val="66373410"/>
    <w:rsid w:val="66576902"/>
    <w:rsid w:val="667404CC"/>
    <w:rsid w:val="66943B2D"/>
    <w:rsid w:val="66BA5FD4"/>
    <w:rsid w:val="66ED09BB"/>
    <w:rsid w:val="67217E24"/>
    <w:rsid w:val="67346A7E"/>
    <w:rsid w:val="673671E2"/>
    <w:rsid w:val="675A1CF7"/>
    <w:rsid w:val="6761194F"/>
    <w:rsid w:val="677D7CAD"/>
    <w:rsid w:val="677F7400"/>
    <w:rsid w:val="67A01566"/>
    <w:rsid w:val="67A84465"/>
    <w:rsid w:val="67AB3B49"/>
    <w:rsid w:val="67B97AED"/>
    <w:rsid w:val="67E6690F"/>
    <w:rsid w:val="6811703A"/>
    <w:rsid w:val="681B4181"/>
    <w:rsid w:val="68384317"/>
    <w:rsid w:val="68456CD4"/>
    <w:rsid w:val="68536C7E"/>
    <w:rsid w:val="68603781"/>
    <w:rsid w:val="68874380"/>
    <w:rsid w:val="68A1308B"/>
    <w:rsid w:val="68EE1A8D"/>
    <w:rsid w:val="69291ACC"/>
    <w:rsid w:val="693F57CE"/>
    <w:rsid w:val="694813D3"/>
    <w:rsid w:val="6958286D"/>
    <w:rsid w:val="696B32FD"/>
    <w:rsid w:val="696B634D"/>
    <w:rsid w:val="69797C2C"/>
    <w:rsid w:val="698F3A75"/>
    <w:rsid w:val="69CB4122"/>
    <w:rsid w:val="69D74CDC"/>
    <w:rsid w:val="69F842D7"/>
    <w:rsid w:val="6A275533"/>
    <w:rsid w:val="6A4D074B"/>
    <w:rsid w:val="6A817869"/>
    <w:rsid w:val="6A9B47A1"/>
    <w:rsid w:val="6AB15246"/>
    <w:rsid w:val="6ABF1EB5"/>
    <w:rsid w:val="6ADB2616"/>
    <w:rsid w:val="6AFF14C0"/>
    <w:rsid w:val="6B0D5B6C"/>
    <w:rsid w:val="6B0E13E7"/>
    <w:rsid w:val="6B29781B"/>
    <w:rsid w:val="6B2F0871"/>
    <w:rsid w:val="6B2F4D32"/>
    <w:rsid w:val="6B5055AA"/>
    <w:rsid w:val="6B531481"/>
    <w:rsid w:val="6BFF0085"/>
    <w:rsid w:val="6C01735C"/>
    <w:rsid w:val="6C4823B7"/>
    <w:rsid w:val="6CB2182C"/>
    <w:rsid w:val="6CC0668D"/>
    <w:rsid w:val="6CD52DCA"/>
    <w:rsid w:val="6D17028B"/>
    <w:rsid w:val="6D221FA5"/>
    <w:rsid w:val="6D252682"/>
    <w:rsid w:val="6D3C235D"/>
    <w:rsid w:val="6D445360"/>
    <w:rsid w:val="6D5F733B"/>
    <w:rsid w:val="6D935AB0"/>
    <w:rsid w:val="6DD74B4A"/>
    <w:rsid w:val="6DF30BF3"/>
    <w:rsid w:val="6E087119"/>
    <w:rsid w:val="6E0A3A07"/>
    <w:rsid w:val="6E4F724A"/>
    <w:rsid w:val="6E566477"/>
    <w:rsid w:val="6E60770D"/>
    <w:rsid w:val="6E810492"/>
    <w:rsid w:val="6E955025"/>
    <w:rsid w:val="6E9948B2"/>
    <w:rsid w:val="6EAC59EE"/>
    <w:rsid w:val="6EAD2337"/>
    <w:rsid w:val="6ECB253C"/>
    <w:rsid w:val="6EDC7B76"/>
    <w:rsid w:val="6EE0042F"/>
    <w:rsid w:val="6EEB1879"/>
    <w:rsid w:val="6EED1DBB"/>
    <w:rsid w:val="6EF57AC2"/>
    <w:rsid w:val="6F037853"/>
    <w:rsid w:val="6F064FED"/>
    <w:rsid w:val="6F144397"/>
    <w:rsid w:val="6F1B52E4"/>
    <w:rsid w:val="6F257E77"/>
    <w:rsid w:val="6F6056F8"/>
    <w:rsid w:val="6F7B3028"/>
    <w:rsid w:val="6FA027BC"/>
    <w:rsid w:val="6FC55DFE"/>
    <w:rsid w:val="6FD42EF5"/>
    <w:rsid w:val="6FE43DB5"/>
    <w:rsid w:val="6FF0426F"/>
    <w:rsid w:val="6FF75070"/>
    <w:rsid w:val="70020A66"/>
    <w:rsid w:val="701B6FD8"/>
    <w:rsid w:val="703D129A"/>
    <w:rsid w:val="70402BC5"/>
    <w:rsid w:val="7043330E"/>
    <w:rsid w:val="706A7B0F"/>
    <w:rsid w:val="707E0ED1"/>
    <w:rsid w:val="7080412D"/>
    <w:rsid w:val="708E5F3A"/>
    <w:rsid w:val="70D41DC8"/>
    <w:rsid w:val="712E0B47"/>
    <w:rsid w:val="7151488F"/>
    <w:rsid w:val="71634993"/>
    <w:rsid w:val="719A7BFF"/>
    <w:rsid w:val="71A85914"/>
    <w:rsid w:val="71B11B67"/>
    <w:rsid w:val="71C026D6"/>
    <w:rsid w:val="71CF566C"/>
    <w:rsid w:val="71D45243"/>
    <w:rsid w:val="71EF2FA5"/>
    <w:rsid w:val="7210341D"/>
    <w:rsid w:val="72AA743E"/>
    <w:rsid w:val="72C76623"/>
    <w:rsid w:val="7301025F"/>
    <w:rsid w:val="73624F26"/>
    <w:rsid w:val="736C6888"/>
    <w:rsid w:val="739B1EBD"/>
    <w:rsid w:val="739C0D31"/>
    <w:rsid w:val="73AF18CB"/>
    <w:rsid w:val="73ED4A58"/>
    <w:rsid w:val="74495954"/>
    <w:rsid w:val="74502085"/>
    <w:rsid w:val="747356BF"/>
    <w:rsid w:val="74796ABE"/>
    <w:rsid w:val="748B5933"/>
    <w:rsid w:val="749A202E"/>
    <w:rsid w:val="74C232B4"/>
    <w:rsid w:val="74C80433"/>
    <w:rsid w:val="74CB458F"/>
    <w:rsid w:val="74D46B51"/>
    <w:rsid w:val="74E229B4"/>
    <w:rsid w:val="74E9694C"/>
    <w:rsid w:val="74EC26A7"/>
    <w:rsid w:val="751B6078"/>
    <w:rsid w:val="7594083B"/>
    <w:rsid w:val="759D1BC3"/>
    <w:rsid w:val="75A523C3"/>
    <w:rsid w:val="75AA0F6C"/>
    <w:rsid w:val="75DF32A0"/>
    <w:rsid w:val="760A43BF"/>
    <w:rsid w:val="76104241"/>
    <w:rsid w:val="761450E8"/>
    <w:rsid w:val="763553D1"/>
    <w:rsid w:val="764166E9"/>
    <w:rsid w:val="76442E28"/>
    <w:rsid w:val="765D589D"/>
    <w:rsid w:val="766332A1"/>
    <w:rsid w:val="76791F53"/>
    <w:rsid w:val="768C1804"/>
    <w:rsid w:val="76A133C0"/>
    <w:rsid w:val="76D36025"/>
    <w:rsid w:val="76FC05B7"/>
    <w:rsid w:val="770367B0"/>
    <w:rsid w:val="771F5398"/>
    <w:rsid w:val="775F7C49"/>
    <w:rsid w:val="776B6DA8"/>
    <w:rsid w:val="7791573A"/>
    <w:rsid w:val="77B3572A"/>
    <w:rsid w:val="783839BA"/>
    <w:rsid w:val="78585083"/>
    <w:rsid w:val="785E7762"/>
    <w:rsid w:val="78664BFF"/>
    <w:rsid w:val="78786FE0"/>
    <w:rsid w:val="789E045F"/>
    <w:rsid w:val="78C66A90"/>
    <w:rsid w:val="79287576"/>
    <w:rsid w:val="79493EB1"/>
    <w:rsid w:val="796577B8"/>
    <w:rsid w:val="79703516"/>
    <w:rsid w:val="7970610A"/>
    <w:rsid w:val="797C66CF"/>
    <w:rsid w:val="798704CD"/>
    <w:rsid w:val="79897278"/>
    <w:rsid w:val="79A033D6"/>
    <w:rsid w:val="79B61F15"/>
    <w:rsid w:val="7A0A3ED1"/>
    <w:rsid w:val="7A136BFF"/>
    <w:rsid w:val="7A633213"/>
    <w:rsid w:val="7A746D70"/>
    <w:rsid w:val="7A7550A6"/>
    <w:rsid w:val="7A800DA7"/>
    <w:rsid w:val="7A8263E8"/>
    <w:rsid w:val="7A9648A9"/>
    <w:rsid w:val="7AAF3771"/>
    <w:rsid w:val="7AEC001A"/>
    <w:rsid w:val="7B0B4807"/>
    <w:rsid w:val="7B3B41DE"/>
    <w:rsid w:val="7B3F0C3E"/>
    <w:rsid w:val="7B475761"/>
    <w:rsid w:val="7B652B22"/>
    <w:rsid w:val="7B7D3C44"/>
    <w:rsid w:val="7B816B35"/>
    <w:rsid w:val="7BAA61E7"/>
    <w:rsid w:val="7BD17AB7"/>
    <w:rsid w:val="7BE208A5"/>
    <w:rsid w:val="7BE3068E"/>
    <w:rsid w:val="7BF86D5C"/>
    <w:rsid w:val="7C07653F"/>
    <w:rsid w:val="7C082A52"/>
    <w:rsid w:val="7C5368A5"/>
    <w:rsid w:val="7C687EEC"/>
    <w:rsid w:val="7C822185"/>
    <w:rsid w:val="7C825961"/>
    <w:rsid w:val="7C840AC9"/>
    <w:rsid w:val="7CAF51D0"/>
    <w:rsid w:val="7CAF6655"/>
    <w:rsid w:val="7CF069BB"/>
    <w:rsid w:val="7CF222EB"/>
    <w:rsid w:val="7D1E43F7"/>
    <w:rsid w:val="7D2A73BF"/>
    <w:rsid w:val="7D6E224F"/>
    <w:rsid w:val="7D87285F"/>
    <w:rsid w:val="7D9B3B81"/>
    <w:rsid w:val="7DA87B6D"/>
    <w:rsid w:val="7DA957CB"/>
    <w:rsid w:val="7DC266D8"/>
    <w:rsid w:val="7DE4519B"/>
    <w:rsid w:val="7DF366F8"/>
    <w:rsid w:val="7DFC6B8F"/>
    <w:rsid w:val="7E1F6225"/>
    <w:rsid w:val="7E4C3F4F"/>
    <w:rsid w:val="7E5940F2"/>
    <w:rsid w:val="7E5B35FF"/>
    <w:rsid w:val="7E6916D3"/>
    <w:rsid w:val="7EA00C80"/>
    <w:rsid w:val="7EA33491"/>
    <w:rsid w:val="7EB019B3"/>
    <w:rsid w:val="7EC65862"/>
    <w:rsid w:val="7F2137F9"/>
    <w:rsid w:val="7F2D1796"/>
    <w:rsid w:val="7F504ACB"/>
    <w:rsid w:val="7F5F6399"/>
    <w:rsid w:val="7F657808"/>
    <w:rsid w:val="7F944A21"/>
    <w:rsid w:val="7FCC729F"/>
    <w:rsid w:val="7FDE4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8F11"/>
  <w15:docId w15:val="{EDA76711-A6BE-45D5-AAC7-24FBEB9C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 w:type="paragraph" w:customStyle="1" w:styleId="Revision2">
    <w:name w:val="Revision2"/>
    <w:hidden/>
    <w:uiPriority w:val="99"/>
    <w:semiHidden/>
    <w:qFormat/>
    <w:pPr>
      <w:spacing w:after="0" w:line="240" w:lineRule="auto"/>
    </w:pPr>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D9EB55-FFC9-48E5-9E88-F9D48F047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3013</Words>
  <Characters>17179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61</cp:revision>
  <cp:lastPrinted>2113-01-01T00:00:00Z</cp:lastPrinted>
  <dcterms:created xsi:type="dcterms:W3CDTF">2020-10-14T01:56:00Z</dcterms:created>
  <dcterms:modified xsi:type="dcterms:W3CDTF">2021-10-21T15:32:00Z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